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77A4" w14:textId="77777777" w:rsidR="004C0EF7" w:rsidRDefault="00156B0D"/>
    <w:p w14:paraId="4DB88A8B" w14:textId="7D999CE9" w:rsidR="009F638F" w:rsidRDefault="007E0E18" w:rsidP="000B6EE2">
      <w:pPr>
        <w:spacing w:after="0" w:line="240" w:lineRule="auto"/>
        <w:rPr>
          <w:rFonts w:ascii="Corbel" w:hAnsi="Corbel"/>
          <w:b/>
          <w:sz w:val="24"/>
        </w:rPr>
      </w:pPr>
      <w:r>
        <w:rPr>
          <w:rFonts w:ascii="Corbel" w:hAnsi="Corbel"/>
          <w:b/>
          <w:sz w:val="24"/>
        </w:rPr>
        <w:t>Department of Classics</w:t>
      </w:r>
    </w:p>
    <w:p w14:paraId="092594D4" w14:textId="77777777" w:rsidR="00A678CF" w:rsidRPr="000B6EE2" w:rsidRDefault="00A678CF" w:rsidP="000B6EE2">
      <w:pPr>
        <w:spacing w:after="0" w:line="240" w:lineRule="auto"/>
        <w:rPr>
          <w:rFonts w:ascii="Corbel" w:hAnsi="Corbel"/>
          <w:b/>
          <w:sz w:val="24"/>
        </w:rPr>
      </w:pPr>
    </w:p>
    <w:p w14:paraId="3BA7E28B" w14:textId="77777777" w:rsidR="000B6EE2" w:rsidRPr="000B6EE2" w:rsidRDefault="00656A1B" w:rsidP="000B6EE2">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w:t>
      </w:r>
      <w:r w:rsidR="000B6EE2" w:rsidRPr="000B6EE2">
        <w:rPr>
          <w:rFonts w:ascii="Corbel" w:hAnsi="Corbel"/>
          <w:b/>
          <w:sz w:val="24"/>
        </w:rPr>
        <w:t xml:space="preserve">Coursework </w:t>
      </w:r>
      <w:r w:rsidR="00DC4E59">
        <w:rPr>
          <w:rFonts w:ascii="Corbel" w:hAnsi="Corbel"/>
          <w:b/>
          <w:sz w:val="24"/>
        </w:rPr>
        <w:t xml:space="preserve">Coversheet </w:t>
      </w:r>
    </w:p>
    <w:p w14:paraId="32AAC57D" w14:textId="77777777"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3114"/>
        <w:gridCol w:w="1843"/>
        <w:gridCol w:w="2055"/>
        <w:gridCol w:w="71"/>
        <w:gridCol w:w="2267"/>
      </w:tblGrid>
      <w:tr w:rsidR="000B6EE2" w14:paraId="07B26CB7" w14:textId="77777777" w:rsidTr="00E26613">
        <w:tc>
          <w:tcPr>
            <w:tcW w:w="9350" w:type="dxa"/>
            <w:gridSpan w:val="5"/>
          </w:tcPr>
          <w:p w14:paraId="5C6721D4" w14:textId="77777777" w:rsidR="000B6EE2" w:rsidRDefault="000B6EE2" w:rsidP="000B6EE2">
            <w:pPr>
              <w:rPr>
                <w:rFonts w:ascii="Corbel" w:hAnsi="Corbel"/>
              </w:rPr>
            </w:pPr>
            <w:r w:rsidRPr="000B6EE2">
              <w:rPr>
                <w:rFonts w:ascii="Corbel" w:hAnsi="Corbel"/>
                <w:b/>
              </w:rPr>
              <w:t xml:space="preserve">In submitting this form with your </w:t>
            </w:r>
            <w:proofErr w:type="gramStart"/>
            <w:r w:rsidRPr="000B6EE2">
              <w:rPr>
                <w:rFonts w:ascii="Corbel" w:hAnsi="Corbel"/>
                <w:b/>
              </w:rPr>
              <w:t>assignment</w:t>
            </w:r>
            <w:proofErr w:type="gramEnd"/>
            <w:r w:rsidRPr="000B6EE2">
              <w:rPr>
                <w:rFonts w:ascii="Corbel" w:hAnsi="Corbel"/>
                <w:b/>
              </w:rPr>
              <w:t xml:space="preserve">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7B899E8C" w14:textId="77777777" w:rsidR="009951DE" w:rsidRDefault="009951DE" w:rsidP="000B6EE2">
            <w:pPr>
              <w:rPr>
                <w:rFonts w:ascii="Corbel" w:hAnsi="Corbel"/>
              </w:rPr>
            </w:pPr>
          </w:p>
          <w:p w14:paraId="69946D93" w14:textId="77777777"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sidR="00DC4E59">
              <w:rPr>
                <w:rFonts w:ascii="Corbel" w:hAnsi="Corbel"/>
              </w:rPr>
              <w:t xml:space="preserve"> I understand that plagiarism is a serious academic offence that may result in disciplinary action.</w:t>
            </w:r>
          </w:p>
          <w:p w14:paraId="7E3C7F09" w14:textId="77777777" w:rsidR="000B6EE2" w:rsidRPr="000B6EE2" w:rsidRDefault="000B6EE2" w:rsidP="000B6EE2">
            <w:pPr>
              <w:rPr>
                <w:rFonts w:ascii="Corbel" w:hAnsi="Corbel"/>
              </w:rPr>
            </w:pPr>
          </w:p>
          <w:p w14:paraId="71E265EA" w14:textId="77777777"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7" w:history="1">
              <w:r w:rsidRPr="00366237">
                <w:rPr>
                  <w:rStyle w:val="Hyperlink"/>
                  <w:rFonts w:ascii="Corbel" w:hAnsi="Corbel"/>
                </w:rPr>
                <w:t>Academic Regulations</w:t>
              </w:r>
            </w:hyperlink>
            <w:r>
              <w:rPr>
                <w:rFonts w:ascii="Corbel" w:hAnsi="Corbel"/>
              </w:rPr>
              <w:t>.</w:t>
            </w:r>
          </w:p>
          <w:p w14:paraId="156CC6B5" w14:textId="77777777" w:rsidR="009951DE" w:rsidRDefault="009951DE" w:rsidP="000B6EE2">
            <w:pPr>
              <w:rPr>
                <w:rFonts w:ascii="Corbel" w:hAnsi="Corbel"/>
              </w:rPr>
            </w:pPr>
          </w:p>
          <w:p w14:paraId="090FDB9C" w14:textId="77777777"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14:paraId="40689895" w14:textId="77777777" w:rsidR="000B6EE2" w:rsidRDefault="000B6EE2" w:rsidP="000B6EE2">
            <w:pPr>
              <w:rPr>
                <w:rFonts w:ascii="Corbel" w:hAnsi="Corbel"/>
              </w:rPr>
            </w:pPr>
          </w:p>
        </w:tc>
      </w:tr>
      <w:tr w:rsidR="000B6EE2" w14:paraId="3AEA012E" w14:textId="77777777" w:rsidTr="00F47617">
        <w:tc>
          <w:tcPr>
            <w:tcW w:w="3114" w:type="dxa"/>
            <w:shd w:val="clear" w:color="auto" w:fill="F2F2F2" w:themeFill="background1" w:themeFillShade="F2"/>
          </w:tcPr>
          <w:p w14:paraId="63016120" w14:textId="77777777" w:rsidR="000B6EE2" w:rsidRPr="000B6EE2" w:rsidRDefault="000B6EE2" w:rsidP="000B6EE2">
            <w:pPr>
              <w:rPr>
                <w:rFonts w:ascii="Corbel" w:hAnsi="Corbel"/>
                <w:b/>
              </w:rPr>
            </w:pPr>
            <w:r w:rsidRPr="000B6EE2">
              <w:rPr>
                <w:rFonts w:ascii="Corbel" w:hAnsi="Corbel"/>
                <w:b/>
              </w:rPr>
              <w:t>Course Code</w:t>
            </w:r>
          </w:p>
        </w:tc>
        <w:tc>
          <w:tcPr>
            <w:tcW w:w="1843" w:type="dxa"/>
          </w:tcPr>
          <w:p w14:paraId="46F7EEC1" w14:textId="77777777" w:rsidR="000B6EE2" w:rsidRPr="000B6EE2" w:rsidRDefault="000B6EE2" w:rsidP="000B6EE2">
            <w:pPr>
              <w:rPr>
                <w:rFonts w:ascii="Corbel" w:hAnsi="Corbel"/>
                <w:b/>
              </w:rPr>
            </w:pPr>
          </w:p>
        </w:tc>
        <w:tc>
          <w:tcPr>
            <w:tcW w:w="2055" w:type="dxa"/>
            <w:shd w:val="clear" w:color="auto" w:fill="F2F2F2" w:themeFill="background1" w:themeFillShade="F2"/>
          </w:tcPr>
          <w:p w14:paraId="308F2BB2" w14:textId="77777777" w:rsidR="000B6EE2" w:rsidRPr="000B6EE2" w:rsidRDefault="000B6EE2" w:rsidP="000B6EE2">
            <w:pPr>
              <w:rPr>
                <w:rFonts w:ascii="Corbel" w:hAnsi="Corbel"/>
                <w:b/>
              </w:rPr>
            </w:pPr>
            <w:r w:rsidRPr="000B6EE2">
              <w:rPr>
                <w:rFonts w:ascii="Corbel" w:hAnsi="Corbel"/>
                <w:b/>
              </w:rPr>
              <w:t xml:space="preserve">Student ID </w:t>
            </w:r>
          </w:p>
        </w:tc>
        <w:tc>
          <w:tcPr>
            <w:tcW w:w="2338" w:type="dxa"/>
            <w:gridSpan w:val="2"/>
          </w:tcPr>
          <w:p w14:paraId="7F8C0D5F" w14:textId="77777777" w:rsidR="000B6EE2" w:rsidRPr="000B6EE2" w:rsidRDefault="000B6EE2" w:rsidP="000B6EE2">
            <w:pPr>
              <w:rPr>
                <w:rFonts w:ascii="Corbel" w:hAnsi="Corbel"/>
                <w:b/>
              </w:rPr>
            </w:pPr>
          </w:p>
        </w:tc>
      </w:tr>
      <w:tr w:rsidR="000B6EE2" w14:paraId="76E6D01B" w14:textId="77777777" w:rsidTr="00F47617">
        <w:tc>
          <w:tcPr>
            <w:tcW w:w="3114" w:type="dxa"/>
            <w:shd w:val="clear" w:color="auto" w:fill="F2F2F2" w:themeFill="background1" w:themeFillShade="F2"/>
          </w:tcPr>
          <w:p w14:paraId="3E3C0B5E" w14:textId="2E9B3225" w:rsidR="000B6EE2" w:rsidRPr="000B6EE2" w:rsidRDefault="00F74235" w:rsidP="000B6EE2">
            <w:pPr>
              <w:rPr>
                <w:rFonts w:ascii="Corbel" w:hAnsi="Corbel"/>
                <w:b/>
              </w:rPr>
            </w:pPr>
            <w:r>
              <w:rPr>
                <w:rFonts w:ascii="Corbel" w:hAnsi="Corbel"/>
                <w:b/>
              </w:rPr>
              <w:t>Course</w:t>
            </w:r>
            <w:r w:rsidR="000B6EE2">
              <w:rPr>
                <w:rFonts w:ascii="Corbel" w:hAnsi="Corbel"/>
                <w:b/>
              </w:rPr>
              <w:t xml:space="preserve"> Title</w:t>
            </w:r>
          </w:p>
        </w:tc>
        <w:tc>
          <w:tcPr>
            <w:tcW w:w="1843" w:type="dxa"/>
          </w:tcPr>
          <w:p w14:paraId="444755C0" w14:textId="77777777" w:rsidR="000B6EE2" w:rsidRDefault="000B6EE2" w:rsidP="000B6EE2">
            <w:pPr>
              <w:rPr>
                <w:rFonts w:ascii="Corbel" w:hAnsi="Corbel"/>
                <w:b/>
              </w:rPr>
            </w:pPr>
          </w:p>
          <w:p w14:paraId="5A22D58F" w14:textId="77777777" w:rsidR="00F74235" w:rsidRDefault="00F74235" w:rsidP="000B6EE2">
            <w:pPr>
              <w:rPr>
                <w:rFonts w:ascii="Corbel" w:hAnsi="Corbel"/>
                <w:b/>
              </w:rPr>
            </w:pPr>
          </w:p>
          <w:p w14:paraId="208CDDD5" w14:textId="7FB1915F" w:rsidR="00F74235" w:rsidRPr="000B6EE2" w:rsidRDefault="00F74235" w:rsidP="000B6EE2">
            <w:pPr>
              <w:rPr>
                <w:rFonts w:ascii="Corbel" w:hAnsi="Corbel"/>
                <w:b/>
              </w:rPr>
            </w:pPr>
          </w:p>
        </w:tc>
        <w:tc>
          <w:tcPr>
            <w:tcW w:w="2055" w:type="dxa"/>
            <w:shd w:val="clear" w:color="auto" w:fill="F2F2F2" w:themeFill="background1" w:themeFillShade="F2"/>
          </w:tcPr>
          <w:p w14:paraId="5726EF32" w14:textId="77777777" w:rsidR="000B6EE2" w:rsidRPr="000B6EE2" w:rsidRDefault="000B6EE2" w:rsidP="000B6EE2">
            <w:pPr>
              <w:rPr>
                <w:rFonts w:ascii="Corbel" w:hAnsi="Corbel"/>
                <w:b/>
              </w:rPr>
            </w:pPr>
            <w:r>
              <w:rPr>
                <w:rFonts w:ascii="Corbel" w:hAnsi="Corbel"/>
                <w:b/>
              </w:rPr>
              <w:t>Candidate Number</w:t>
            </w:r>
          </w:p>
        </w:tc>
        <w:tc>
          <w:tcPr>
            <w:tcW w:w="2338" w:type="dxa"/>
            <w:gridSpan w:val="2"/>
          </w:tcPr>
          <w:p w14:paraId="0BB3418F" w14:textId="77777777" w:rsidR="000B6EE2" w:rsidRPr="000B6EE2" w:rsidRDefault="000B6EE2" w:rsidP="000B6EE2">
            <w:pPr>
              <w:rPr>
                <w:rFonts w:ascii="Corbel" w:hAnsi="Corbel"/>
                <w:b/>
              </w:rPr>
            </w:pPr>
          </w:p>
        </w:tc>
      </w:tr>
      <w:tr w:rsidR="0034547A" w14:paraId="44C69A3E" w14:textId="77777777" w:rsidTr="00F47617">
        <w:tc>
          <w:tcPr>
            <w:tcW w:w="3114" w:type="dxa"/>
            <w:shd w:val="clear" w:color="auto" w:fill="F2F2F2" w:themeFill="background1" w:themeFillShade="F2"/>
          </w:tcPr>
          <w:p w14:paraId="0FCA8EC0" w14:textId="77777777" w:rsidR="0034547A" w:rsidRDefault="0034547A" w:rsidP="0034547A">
            <w:pPr>
              <w:rPr>
                <w:rFonts w:ascii="Corbel" w:hAnsi="Corbel"/>
                <w:b/>
              </w:rPr>
            </w:pPr>
            <w:r>
              <w:rPr>
                <w:rFonts w:ascii="Corbel" w:hAnsi="Corbel"/>
                <w:b/>
              </w:rPr>
              <w:t>Coursework Tutor</w:t>
            </w:r>
          </w:p>
        </w:tc>
        <w:tc>
          <w:tcPr>
            <w:tcW w:w="1843" w:type="dxa"/>
          </w:tcPr>
          <w:p w14:paraId="68D327CD" w14:textId="77777777" w:rsidR="0034547A" w:rsidRPr="000B6EE2" w:rsidRDefault="0034547A" w:rsidP="0034547A">
            <w:pPr>
              <w:rPr>
                <w:rFonts w:ascii="Corbel" w:hAnsi="Corbel"/>
                <w:b/>
              </w:rPr>
            </w:pPr>
          </w:p>
        </w:tc>
        <w:tc>
          <w:tcPr>
            <w:tcW w:w="2055" w:type="dxa"/>
            <w:shd w:val="clear" w:color="auto" w:fill="F2F2F2" w:themeFill="background1" w:themeFillShade="F2"/>
          </w:tcPr>
          <w:p w14:paraId="07AACB54" w14:textId="77777777" w:rsidR="0034547A" w:rsidRDefault="0034547A" w:rsidP="0034547A">
            <w:pPr>
              <w:rPr>
                <w:rFonts w:ascii="Corbel" w:hAnsi="Corbel"/>
                <w:b/>
              </w:rPr>
            </w:pPr>
            <w:r>
              <w:rPr>
                <w:rFonts w:ascii="Corbel" w:hAnsi="Corbel"/>
                <w:b/>
              </w:rPr>
              <w:t>Submission Date</w:t>
            </w:r>
          </w:p>
        </w:tc>
        <w:tc>
          <w:tcPr>
            <w:tcW w:w="2338" w:type="dxa"/>
            <w:gridSpan w:val="2"/>
          </w:tcPr>
          <w:p w14:paraId="3E46FF8D" w14:textId="77777777" w:rsidR="0034547A" w:rsidRPr="000B6EE2" w:rsidRDefault="0034547A" w:rsidP="0034547A">
            <w:pPr>
              <w:rPr>
                <w:rFonts w:ascii="Corbel" w:hAnsi="Corbel"/>
                <w:b/>
              </w:rPr>
            </w:pPr>
          </w:p>
        </w:tc>
      </w:tr>
      <w:tr w:rsidR="0034547A" w14:paraId="77D0B596" w14:textId="77777777" w:rsidTr="00F47617">
        <w:tc>
          <w:tcPr>
            <w:tcW w:w="3114" w:type="dxa"/>
            <w:shd w:val="clear" w:color="auto" w:fill="F2F2F2" w:themeFill="background1" w:themeFillShade="F2"/>
          </w:tcPr>
          <w:p w14:paraId="12180415" w14:textId="4F607C73" w:rsidR="0034547A" w:rsidRDefault="00F74235" w:rsidP="0034547A">
            <w:pPr>
              <w:rPr>
                <w:rFonts w:ascii="Corbel" w:hAnsi="Corbel"/>
                <w:b/>
              </w:rPr>
            </w:pPr>
            <w:r>
              <w:rPr>
                <w:rFonts w:ascii="Corbel" w:hAnsi="Corbel"/>
                <w:b/>
              </w:rPr>
              <w:t>Referencing system</w:t>
            </w:r>
          </w:p>
        </w:tc>
        <w:tc>
          <w:tcPr>
            <w:tcW w:w="1843" w:type="dxa"/>
          </w:tcPr>
          <w:p w14:paraId="6D805A91" w14:textId="77777777" w:rsidR="00F74235" w:rsidRDefault="00F74235" w:rsidP="0034547A">
            <w:pPr>
              <w:rPr>
                <w:rFonts w:ascii="Corbel" w:hAnsi="Corbel"/>
                <w:b/>
              </w:rPr>
            </w:pPr>
          </w:p>
          <w:p w14:paraId="3E615F03" w14:textId="7D84DF88" w:rsidR="00F74235" w:rsidRPr="000B6EE2" w:rsidRDefault="00F74235" w:rsidP="0034547A">
            <w:pPr>
              <w:rPr>
                <w:rFonts w:ascii="Corbel" w:hAnsi="Corbel"/>
                <w:b/>
              </w:rPr>
            </w:pPr>
          </w:p>
        </w:tc>
        <w:tc>
          <w:tcPr>
            <w:tcW w:w="2055" w:type="dxa"/>
            <w:shd w:val="clear" w:color="auto" w:fill="F2F2F2" w:themeFill="background1" w:themeFillShade="F2"/>
          </w:tcPr>
          <w:p w14:paraId="3886D793" w14:textId="77777777" w:rsidR="0034547A" w:rsidRPr="000B6EE2" w:rsidRDefault="0034547A" w:rsidP="0034547A">
            <w:pPr>
              <w:rPr>
                <w:rFonts w:ascii="Corbel" w:hAnsi="Corbel"/>
                <w:b/>
              </w:rPr>
            </w:pPr>
            <w:r>
              <w:rPr>
                <w:rFonts w:ascii="Corbel" w:hAnsi="Corbel"/>
                <w:b/>
              </w:rPr>
              <w:t>Word Count</w:t>
            </w:r>
          </w:p>
        </w:tc>
        <w:tc>
          <w:tcPr>
            <w:tcW w:w="2338" w:type="dxa"/>
            <w:gridSpan w:val="2"/>
          </w:tcPr>
          <w:p w14:paraId="2808E1F1" w14:textId="77777777" w:rsidR="0034547A" w:rsidRPr="000B6EE2" w:rsidRDefault="0034547A" w:rsidP="0034547A">
            <w:pPr>
              <w:rPr>
                <w:rFonts w:ascii="Corbel" w:hAnsi="Corbel"/>
                <w:b/>
              </w:rPr>
            </w:pPr>
          </w:p>
        </w:tc>
      </w:tr>
      <w:tr w:rsidR="0034547A" w14:paraId="4D65A48A" w14:textId="77777777" w:rsidTr="00F47617">
        <w:tc>
          <w:tcPr>
            <w:tcW w:w="3114" w:type="dxa"/>
            <w:shd w:val="clear" w:color="auto" w:fill="F2F2F2" w:themeFill="background1" w:themeFillShade="F2"/>
          </w:tcPr>
          <w:p w14:paraId="77053B87" w14:textId="77777777" w:rsidR="0034547A" w:rsidRDefault="00F74235" w:rsidP="0034547A">
            <w:pPr>
              <w:rPr>
                <w:rFonts w:ascii="Corbel" w:hAnsi="Corbel"/>
                <w:b/>
              </w:rPr>
            </w:pPr>
            <w:r>
              <w:rPr>
                <w:rFonts w:ascii="Corbel" w:hAnsi="Corbel"/>
                <w:b/>
              </w:rPr>
              <w:t>Coursework title</w:t>
            </w:r>
          </w:p>
          <w:p w14:paraId="1CD32FEF" w14:textId="75AC88B3" w:rsidR="00F74235" w:rsidRDefault="00F74235" w:rsidP="0034547A">
            <w:pPr>
              <w:rPr>
                <w:rFonts w:ascii="Corbel" w:hAnsi="Corbel"/>
                <w:b/>
              </w:rPr>
            </w:pPr>
          </w:p>
        </w:tc>
        <w:tc>
          <w:tcPr>
            <w:tcW w:w="6236" w:type="dxa"/>
            <w:gridSpan w:val="4"/>
          </w:tcPr>
          <w:p w14:paraId="1076DBE7" w14:textId="77777777" w:rsidR="0034547A" w:rsidRDefault="0034547A" w:rsidP="0034547A">
            <w:pPr>
              <w:rPr>
                <w:rFonts w:ascii="Corbel" w:hAnsi="Corbel"/>
                <w:b/>
              </w:rPr>
            </w:pPr>
          </w:p>
          <w:p w14:paraId="1669D0CD" w14:textId="77777777" w:rsidR="00F74235" w:rsidRDefault="00F74235" w:rsidP="0034547A">
            <w:pPr>
              <w:rPr>
                <w:rFonts w:ascii="Corbel" w:hAnsi="Corbel"/>
                <w:b/>
              </w:rPr>
            </w:pPr>
          </w:p>
          <w:p w14:paraId="6CE2A1CA" w14:textId="3ADEF500" w:rsidR="00F74235" w:rsidRPr="000B6EE2" w:rsidRDefault="00F74235" w:rsidP="0034547A">
            <w:pPr>
              <w:rPr>
                <w:rFonts w:ascii="Corbel" w:hAnsi="Corbel"/>
                <w:b/>
              </w:rPr>
            </w:pPr>
          </w:p>
        </w:tc>
      </w:tr>
      <w:tr w:rsidR="0034547A" w14:paraId="1419CA9A" w14:textId="77777777" w:rsidTr="008F7826">
        <w:tc>
          <w:tcPr>
            <w:tcW w:w="4957" w:type="dxa"/>
            <w:gridSpan w:val="2"/>
            <w:shd w:val="clear" w:color="auto" w:fill="F2F2F2" w:themeFill="background1" w:themeFillShade="F2"/>
          </w:tcPr>
          <w:p w14:paraId="4F661A2C" w14:textId="77777777" w:rsidR="0034547A" w:rsidRPr="000B6EE2" w:rsidRDefault="0034547A" w:rsidP="0034547A">
            <w:pPr>
              <w:rPr>
                <w:rFonts w:ascii="Corbel" w:hAnsi="Corbel"/>
                <w:b/>
              </w:rPr>
            </w:pPr>
            <w:r>
              <w:rPr>
                <w:rFonts w:ascii="Corbel" w:hAnsi="Corbel"/>
                <w:b/>
              </w:rPr>
              <w:t>Bibliography included? (</w:t>
            </w:r>
            <w:r>
              <w:rPr>
                <w:rFonts w:ascii="Corbel" w:hAnsi="Corbel"/>
                <w:b/>
                <w:i/>
              </w:rPr>
              <w:t xml:space="preserve">Highlight </w:t>
            </w:r>
            <w:r w:rsidRPr="00F47617">
              <w:rPr>
                <w:rFonts w:ascii="Corbel" w:hAnsi="Corbel"/>
                <w:b/>
                <w:i/>
              </w:rPr>
              <w:t>as relevant</w:t>
            </w:r>
            <w:r>
              <w:rPr>
                <w:rFonts w:ascii="Corbel" w:hAnsi="Corbel"/>
                <w:b/>
              </w:rPr>
              <w:t>)</w:t>
            </w:r>
          </w:p>
        </w:tc>
        <w:tc>
          <w:tcPr>
            <w:tcW w:w="2126" w:type="dxa"/>
            <w:gridSpan w:val="2"/>
          </w:tcPr>
          <w:p w14:paraId="1B06F43C" w14:textId="77777777" w:rsidR="0034547A" w:rsidRPr="000B6EE2" w:rsidRDefault="0034547A" w:rsidP="0034547A">
            <w:pPr>
              <w:rPr>
                <w:rFonts w:ascii="Corbel" w:hAnsi="Corbel"/>
                <w:b/>
              </w:rPr>
            </w:pPr>
            <w:r>
              <w:rPr>
                <w:rFonts w:ascii="Corbel" w:hAnsi="Corbel"/>
                <w:b/>
              </w:rPr>
              <w:t>Yes</w:t>
            </w:r>
          </w:p>
        </w:tc>
        <w:tc>
          <w:tcPr>
            <w:tcW w:w="2267" w:type="dxa"/>
          </w:tcPr>
          <w:p w14:paraId="74D46B00" w14:textId="77777777" w:rsidR="0034547A" w:rsidRPr="000B6EE2" w:rsidRDefault="0034547A" w:rsidP="0034547A">
            <w:pPr>
              <w:rPr>
                <w:rFonts w:ascii="Corbel" w:hAnsi="Corbel"/>
                <w:b/>
              </w:rPr>
            </w:pPr>
            <w:r>
              <w:rPr>
                <w:rFonts w:ascii="Corbel" w:hAnsi="Corbel"/>
                <w:b/>
              </w:rPr>
              <w:t>No</w:t>
            </w:r>
          </w:p>
        </w:tc>
      </w:tr>
    </w:tbl>
    <w:p w14:paraId="3C7E2321" w14:textId="77777777" w:rsidR="004004C4" w:rsidRDefault="004004C4" w:rsidP="004004C4">
      <w:pPr>
        <w:spacing w:after="0" w:line="240" w:lineRule="auto"/>
        <w:rPr>
          <w:rFonts w:ascii="Corbel" w:hAnsi="Corbel"/>
          <w:b/>
        </w:rPr>
      </w:pPr>
    </w:p>
    <w:p w14:paraId="4E1670C5" w14:textId="79A47CE4" w:rsidR="004D27F9" w:rsidRDefault="004004C4" w:rsidP="004004C4">
      <w:pPr>
        <w:spacing w:after="0" w:line="240" w:lineRule="auto"/>
        <w:rPr>
          <w:rFonts w:ascii="Corbel" w:hAnsi="Corbel"/>
        </w:rPr>
      </w:pPr>
      <w:r w:rsidRPr="004004C4">
        <w:rPr>
          <w:rFonts w:ascii="Corbel" w:hAnsi="Corbel"/>
          <w:b/>
        </w:rPr>
        <w:t>Please note</w:t>
      </w:r>
      <w:r>
        <w:rPr>
          <w:rFonts w:ascii="Corbel" w:hAnsi="Corbel"/>
        </w:rPr>
        <w:t xml:space="preserve">:  You will be able to access your feedback </w:t>
      </w:r>
      <w:r w:rsidRPr="00A678CF">
        <w:rPr>
          <w:rFonts w:ascii="Corbel" w:hAnsi="Corbel"/>
          <w:i/>
        </w:rPr>
        <w:t>via</w:t>
      </w:r>
      <w:r>
        <w:rPr>
          <w:rFonts w:ascii="Corbel" w:hAnsi="Corbel"/>
        </w:rPr>
        <w:t xml:space="preserve"> Moodle.</w:t>
      </w:r>
    </w:p>
    <w:p w14:paraId="298614A7" w14:textId="17D3154D" w:rsidR="00F74235" w:rsidRDefault="00F74235" w:rsidP="00F74235">
      <w:pPr>
        <w:rPr>
          <w:rFonts w:cs="Times New Roman"/>
          <w:b/>
          <w:sz w:val="28"/>
          <w:szCs w:val="20"/>
          <w:lang w:val="en-GB" w:eastAsia="en-GB"/>
        </w:rPr>
      </w:pPr>
    </w:p>
    <w:p w14:paraId="17E4DB28" w14:textId="41B83924" w:rsidR="00F74235" w:rsidRDefault="00F74235" w:rsidP="00F74235">
      <w:pPr>
        <w:rPr>
          <w:rFonts w:cs="Times New Roman"/>
          <w:b/>
          <w:sz w:val="28"/>
          <w:szCs w:val="20"/>
          <w:lang w:val="en-GB" w:eastAsia="en-GB"/>
        </w:rPr>
      </w:pPr>
    </w:p>
    <w:p w14:paraId="5374E8FA" w14:textId="471AA2ED" w:rsidR="00F74235" w:rsidRDefault="00F74235" w:rsidP="00F74235">
      <w:pPr>
        <w:rPr>
          <w:rFonts w:cs="Times New Roman"/>
          <w:b/>
          <w:sz w:val="28"/>
          <w:szCs w:val="20"/>
          <w:lang w:val="en-GB" w:eastAsia="en-GB"/>
        </w:rPr>
      </w:pPr>
    </w:p>
    <w:p w14:paraId="63E92B59" w14:textId="0330D997" w:rsidR="00F74235" w:rsidRDefault="00F74235" w:rsidP="00F74235">
      <w:pPr>
        <w:rPr>
          <w:rFonts w:cs="Times New Roman"/>
          <w:b/>
          <w:sz w:val="28"/>
          <w:szCs w:val="20"/>
          <w:lang w:val="en-GB" w:eastAsia="en-GB"/>
        </w:rPr>
      </w:pPr>
    </w:p>
    <w:p w14:paraId="25C6EFEB" w14:textId="1EC997AA" w:rsidR="00F74235" w:rsidRDefault="00F74235" w:rsidP="00F74235">
      <w:pPr>
        <w:rPr>
          <w:rFonts w:cs="Times New Roman"/>
          <w:b/>
          <w:sz w:val="28"/>
          <w:szCs w:val="20"/>
          <w:lang w:val="en-GB" w:eastAsia="en-GB"/>
        </w:rPr>
      </w:pPr>
    </w:p>
    <w:p w14:paraId="36CC24B5" w14:textId="747C0D1B" w:rsidR="00F74235" w:rsidRDefault="00F74235" w:rsidP="00F74235">
      <w:pPr>
        <w:rPr>
          <w:rFonts w:cs="Times New Roman"/>
          <w:b/>
          <w:sz w:val="28"/>
          <w:szCs w:val="20"/>
          <w:lang w:val="en-GB" w:eastAsia="en-GB"/>
        </w:rPr>
      </w:pPr>
    </w:p>
    <w:p w14:paraId="560FAD55" w14:textId="77777777" w:rsidR="00F74235" w:rsidRPr="00F74235" w:rsidRDefault="00F74235" w:rsidP="00F74235">
      <w:pPr>
        <w:rPr>
          <w:rFonts w:cs="Times New Roman"/>
          <w:b/>
          <w:sz w:val="28"/>
          <w:szCs w:val="20"/>
          <w:lang w:val="en-GB" w:eastAsia="en-GB"/>
        </w:rPr>
      </w:pPr>
      <w:bookmarkStart w:id="0" w:name="_GoBack"/>
      <w:bookmarkEnd w:id="0"/>
    </w:p>
    <w:p w14:paraId="1FED29BA" w14:textId="77777777" w:rsidR="00A45453" w:rsidRDefault="00A45453" w:rsidP="009F638F">
      <w:pPr>
        <w:spacing w:after="0" w:line="240" w:lineRule="auto"/>
        <w:rPr>
          <w:rFonts w:cs="Times New Roman"/>
          <w:b/>
          <w:sz w:val="20"/>
          <w:szCs w:val="20"/>
          <w:lang w:val="en-GB" w:eastAsia="en-GB"/>
        </w:rPr>
      </w:pPr>
    </w:p>
    <w:p w14:paraId="3C1648A3" w14:textId="77777777" w:rsidR="000B021A" w:rsidRPr="00097F57" w:rsidRDefault="000B021A" w:rsidP="000B021A">
      <w:pPr>
        <w:spacing w:line="240" w:lineRule="auto"/>
        <w:rPr>
          <w:rFonts w:ascii="Century Gothic" w:hAnsi="Century Gothic"/>
          <w:b/>
          <w:color w:val="323E4F" w:themeColor="text2" w:themeShade="BF"/>
          <w:sz w:val="11"/>
          <w:szCs w:val="11"/>
        </w:rPr>
      </w:pPr>
      <w:r w:rsidRPr="00097F57">
        <w:rPr>
          <w:rFonts w:ascii="Century Gothic" w:hAnsi="Century Gothic"/>
          <w:b/>
          <w:color w:val="323E4F" w:themeColor="text2" w:themeShade="BF"/>
          <w:sz w:val="11"/>
          <w:szCs w:val="11"/>
        </w:rPr>
        <w:t>Marking Criteria</w:t>
      </w:r>
    </w:p>
    <w:p w14:paraId="3DED6384" w14:textId="77777777" w:rsidR="000B021A" w:rsidRPr="00097F57" w:rsidRDefault="000B021A" w:rsidP="000B021A">
      <w:pPr>
        <w:widowControl w:val="0"/>
        <w:spacing w:line="240" w:lineRule="auto"/>
        <w:rPr>
          <w:rFonts w:ascii="Century Gothic" w:hAnsi="Century Gothic"/>
          <w:b/>
          <w:color w:val="323E4F" w:themeColor="text2" w:themeShade="BF"/>
          <w:sz w:val="11"/>
          <w:szCs w:val="11"/>
        </w:rPr>
      </w:pPr>
      <w:r w:rsidRPr="00097F57">
        <w:rPr>
          <w:rFonts w:ascii="Century Gothic" w:hAnsi="Century Gothic"/>
          <w:b/>
          <w:color w:val="323E4F" w:themeColor="text2" w:themeShade="BF"/>
          <w:sz w:val="11"/>
          <w:szCs w:val="11"/>
        </w:rPr>
        <w:t>85+% High First Class</w:t>
      </w:r>
    </w:p>
    <w:p w14:paraId="570F91AC" w14:textId="77777777" w:rsidR="000B021A" w:rsidRPr="00097F57" w:rsidRDefault="000B021A" w:rsidP="000B021A">
      <w:pPr>
        <w:numPr>
          <w:ilvl w:val="0"/>
          <w:numId w:val="1"/>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deep understanding and near-comprehensive knowledge of the subject and primary evidence, and shows significant originality in interpretation or analysis of the question.</w:t>
      </w:r>
    </w:p>
    <w:p w14:paraId="0B5461B5" w14:textId="77777777" w:rsidR="000B021A" w:rsidRPr="00097F57" w:rsidRDefault="000B021A" w:rsidP="000B021A">
      <w:pPr>
        <w:numPr>
          <w:ilvl w:val="0"/>
          <w:numId w:val="2"/>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coherent structure, demonstrating excellent critical synthesis of secondary materials, and may show significant innovation in its </w:t>
      </w:r>
      <w:proofErr w:type="spellStart"/>
      <w:r w:rsidRPr="00097F57">
        <w:rPr>
          <w:rFonts w:ascii="Century Gothic" w:hAnsi="Century Gothic"/>
          <w:bCs/>
          <w:sz w:val="11"/>
          <w:szCs w:val="11"/>
        </w:rPr>
        <w:t>organisational</w:t>
      </w:r>
      <w:proofErr w:type="spellEnd"/>
      <w:r w:rsidRPr="00097F57">
        <w:rPr>
          <w:rFonts w:ascii="Century Gothic" w:hAnsi="Century Gothic"/>
          <w:bCs/>
          <w:sz w:val="11"/>
          <w:szCs w:val="11"/>
        </w:rPr>
        <w:t xml:space="preserve"> form.  </w:t>
      </w:r>
    </w:p>
    <w:p w14:paraId="3F3517A6" w14:textId="77777777" w:rsidR="000B021A" w:rsidRPr="00097F57" w:rsidRDefault="000B021A" w:rsidP="000B021A">
      <w:pPr>
        <w:numPr>
          <w:ilvl w:val="0"/>
          <w:numId w:val="3"/>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overwhelming evidence of in-depth reading, with clear indications of substantial independent reading beyond limits of reading lists and exceptionally intensive, detailed and critical reading of recommended texts.</w:t>
      </w:r>
    </w:p>
    <w:p w14:paraId="72D90C4D" w14:textId="77777777" w:rsidR="000B021A" w:rsidRPr="00097F57" w:rsidRDefault="000B021A" w:rsidP="000B021A">
      <w:pPr>
        <w:numPr>
          <w:ilvl w:val="0"/>
          <w:numId w:val="4"/>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excellently presented, with referencing and bibliography of standard of publishable journal article in subject area.</w:t>
      </w:r>
    </w:p>
    <w:p w14:paraId="0BB9CD61" w14:textId="77777777" w:rsidR="000B021A" w:rsidRPr="00097F57" w:rsidRDefault="000B021A" w:rsidP="000B021A">
      <w:pPr>
        <w:numPr>
          <w:ilvl w:val="0"/>
          <w:numId w:val="5"/>
        </w:numPr>
        <w:spacing w:after="0" w:line="240" w:lineRule="auto"/>
        <w:ind w:left="0"/>
        <w:jc w:val="both"/>
        <w:rPr>
          <w:rFonts w:ascii="Century Gothic" w:hAnsi="Century Gothic"/>
          <w:bCs/>
          <w:sz w:val="11"/>
          <w:szCs w:val="11"/>
        </w:rPr>
      </w:pPr>
      <w:r w:rsidRPr="00097F57">
        <w:rPr>
          <w:rFonts w:ascii="Century Gothic" w:hAnsi="Century Gothic"/>
          <w:bCs/>
          <w:sz w:val="11"/>
          <w:szCs w:val="11"/>
        </w:rPr>
        <w:t>has an incisive and fluent style, with no or very minor errors of spelling, punctuation or grammar.</w:t>
      </w:r>
    </w:p>
    <w:p w14:paraId="7208A8D3" w14:textId="77777777" w:rsidR="000B021A" w:rsidRPr="00097F57" w:rsidRDefault="000B021A" w:rsidP="000B021A">
      <w:pPr>
        <w:spacing w:line="240" w:lineRule="auto"/>
        <w:rPr>
          <w:rFonts w:ascii="Century Gothic" w:hAnsi="Century Gothic"/>
          <w:bCs/>
          <w:sz w:val="11"/>
          <w:szCs w:val="11"/>
        </w:rPr>
      </w:pPr>
    </w:p>
    <w:p w14:paraId="51419565" w14:textId="77777777" w:rsidR="000B021A" w:rsidRPr="00097F57" w:rsidRDefault="000B021A" w:rsidP="000B021A">
      <w:pPr>
        <w:spacing w:line="240" w:lineRule="auto"/>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72, 75, 78, 82% First Class</w:t>
      </w:r>
    </w:p>
    <w:p w14:paraId="5C0D2F83" w14:textId="77777777" w:rsidR="000B021A" w:rsidRPr="00097F57" w:rsidRDefault="000B021A" w:rsidP="000B021A">
      <w:pPr>
        <w:numPr>
          <w:ilvl w:val="0"/>
          <w:numId w:val="10"/>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deep understanding and detailed knowledge of the subject and primary evidence, and may show some originality in interpretation or analysis of the question.</w:t>
      </w:r>
    </w:p>
    <w:p w14:paraId="00E49D0B" w14:textId="77777777" w:rsidR="000B021A" w:rsidRPr="00097F57" w:rsidRDefault="000B021A" w:rsidP="000B021A">
      <w:pPr>
        <w:numPr>
          <w:ilvl w:val="0"/>
          <w:numId w:val="6"/>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coherent structure, demonstrating excellent critical synthesis of secondary materials, and may show some innovation in its </w:t>
      </w:r>
      <w:proofErr w:type="spellStart"/>
      <w:r w:rsidRPr="00097F57">
        <w:rPr>
          <w:rFonts w:ascii="Century Gothic" w:hAnsi="Century Gothic"/>
          <w:bCs/>
          <w:sz w:val="11"/>
          <w:szCs w:val="11"/>
        </w:rPr>
        <w:t>organisational</w:t>
      </w:r>
      <w:proofErr w:type="spellEnd"/>
      <w:r w:rsidRPr="00097F57">
        <w:rPr>
          <w:rFonts w:ascii="Century Gothic" w:hAnsi="Century Gothic"/>
          <w:bCs/>
          <w:sz w:val="11"/>
          <w:szCs w:val="11"/>
        </w:rPr>
        <w:t xml:space="preserve"> form.  </w:t>
      </w:r>
    </w:p>
    <w:p w14:paraId="5D696A6A" w14:textId="77777777" w:rsidR="000B021A" w:rsidRPr="00097F57" w:rsidRDefault="000B021A" w:rsidP="000B021A">
      <w:pPr>
        <w:numPr>
          <w:ilvl w:val="0"/>
          <w:numId w:val="7"/>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shows significant evidence of in-depth reading, with clear indications of </w:t>
      </w:r>
      <w:r w:rsidRPr="00097F57">
        <w:rPr>
          <w:rFonts w:ascii="Century Gothic" w:hAnsi="Century Gothic"/>
          <w:bCs/>
          <w:i/>
          <w:sz w:val="11"/>
          <w:szCs w:val="11"/>
        </w:rPr>
        <w:t>either</w:t>
      </w:r>
      <w:r w:rsidRPr="00097F57">
        <w:rPr>
          <w:rFonts w:ascii="Century Gothic" w:hAnsi="Century Gothic"/>
          <w:bCs/>
          <w:sz w:val="11"/>
          <w:szCs w:val="11"/>
        </w:rPr>
        <w:t xml:space="preserve"> independent reading beyond limits of reading lists </w:t>
      </w:r>
      <w:r w:rsidRPr="00097F57">
        <w:rPr>
          <w:rFonts w:ascii="Century Gothic" w:hAnsi="Century Gothic"/>
          <w:bCs/>
          <w:i/>
          <w:sz w:val="11"/>
          <w:szCs w:val="11"/>
        </w:rPr>
        <w:t>or</w:t>
      </w:r>
      <w:r w:rsidRPr="00097F57">
        <w:rPr>
          <w:rFonts w:ascii="Century Gothic" w:hAnsi="Century Gothic"/>
          <w:bCs/>
          <w:sz w:val="11"/>
          <w:szCs w:val="11"/>
        </w:rPr>
        <w:t xml:space="preserve"> intensive, detailed and critical reading of prescribed readings.  </w:t>
      </w:r>
    </w:p>
    <w:p w14:paraId="30243FEC" w14:textId="77777777" w:rsidR="000B021A" w:rsidRPr="00097F57" w:rsidRDefault="000B021A" w:rsidP="000B021A">
      <w:pPr>
        <w:numPr>
          <w:ilvl w:val="0"/>
          <w:numId w:val="8"/>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excellently presented, with referencing and bibliography close to standard of publishable journal article in subject area.</w:t>
      </w:r>
    </w:p>
    <w:p w14:paraId="79B516C0" w14:textId="77777777" w:rsidR="000B021A" w:rsidRPr="00097F57" w:rsidRDefault="000B021A" w:rsidP="000B021A">
      <w:pPr>
        <w:numPr>
          <w:ilvl w:val="0"/>
          <w:numId w:val="9"/>
        </w:numPr>
        <w:spacing w:after="0" w:line="240" w:lineRule="auto"/>
        <w:ind w:left="0"/>
        <w:jc w:val="both"/>
        <w:rPr>
          <w:rFonts w:ascii="Century Gothic" w:hAnsi="Century Gothic"/>
          <w:bCs/>
          <w:sz w:val="11"/>
          <w:szCs w:val="11"/>
        </w:rPr>
      </w:pPr>
      <w:r w:rsidRPr="00097F57">
        <w:rPr>
          <w:rFonts w:ascii="Century Gothic" w:hAnsi="Century Gothic"/>
          <w:bCs/>
          <w:sz w:val="11"/>
          <w:szCs w:val="11"/>
        </w:rPr>
        <w:t>has an incisive and fluent style, with no significant errors of spelling, punctuation or grammar.</w:t>
      </w:r>
    </w:p>
    <w:p w14:paraId="3336B1AC" w14:textId="77777777" w:rsidR="000B021A" w:rsidRPr="00097F57" w:rsidRDefault="000B021A" w:rsidP="000B021A">
      <w:pPr>
        <w:rPr>
          <w:rFonts w:ascii="Century Gothic" w:hAnsi="Century Gothic"/>
          <w:bCs/>
          <w:sz w:val="11"/>
          <w:szCs w:val="11"/>
        </w:rPr>
      </w:pPr>
    </w:p>
    <w:p w14:paraId="544AD8F1" w14:textId="77777777" w:rsidR="000B021A" w:rsidRPr="00097F57" w:rsidRDefault="000B021A" w:rsidP="000B021A">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62, 65, 68% Upper Second Class</w:t>
      </w:r>
    </w:p>
    <w:p w14:paraId="56717E00" w14:textId="77777777" w:rsidR="000B021A" w:rsidRPr="00097F57" w:rsidRDefault="000B021A" w:rsidP="000B021A">
      <w:pPr>
        <w:numPr>
          <w:ilvl w:val="0"/>
          <w:numId w:val="11"/>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a clear understanding and wide-ranging knowledge of the subject and primary evidence, with a direct focus on question</w:t>
      </w:r>
    </w:p>
    <w:p w14:paraId="5AFBA7C8" w14:textId="77777777" w:rsidR="000B021A" w:rsidRPr="00097F57" w:rsidRDefault="000B021A" w:rsidP="000B021A">
      <w:pPr>
        <w:numPr>
          <w:ilvl w:val="0"/>
          <w:numId w:val="12"/>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coherent structure, demonstrating good critical synthesis of secondary </w:t>
      </w:r>
      <w:proofErr w:type="gramStart"/>
      <w:r w:rsidRPr="00097F57">
        <w:rPr>
          <w:rFonts w:ascii="Century Gothic" w:hAnsi="Century Gothic"/>
          <w:bCs/>
          <w:sz w:val="11"/>
          <w:szCs w:val="11"/>
        </w:rPr>
        <w:t>materials.</w:t>
      </w:r>
      <w:proofErr w:type="gramEnd"/>
      <w:r w:rsidRPr="00097F57">
        <w:rPr>
          <w:rFonts w:ascii="Century Gothic" w:hAnsi="Century Gothic"/>
          <w:bCs/>
          <w:sz w:val="11"/>
          <w:szCs w:val="11"/>
        </w:rPr>
        <w:t xml:space="preserve">  </w:t>
      </w:r>
    </w:p>
    <w:p w14:paraId="03607F13" w14:textId="77777777" w:rsidR="000B021A" w:rsidRPr="00097F57" w:rsidRDefault="000B021A" w:rsidP="000B021A">
      <w:pPr>
        <w:numPr>
          <w:ilvl w:val="0"/>
          <w:numId w:val="13"/>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clear evidence of in-depth reading, with substantial coverage of recommended texts.</w:t>
      </w:r>
    </w:p>
    <w:p w14:paraId="27F7A018" w14:textId="77777777" w:rsidR="000B021A" w:rsidRPr="00097F57" w:rsidRDefault="000B021A" w:rsidP="000B021A">
      <w:pPr>
        <w:numPr>
          <w:ilvl w:val="0"/>
          <w:numId w:val="14"/>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well-presented, with detailed referencing in an acceptable style and a properly formatted bibliography.</w:t>
      </w:r>
    </w:p>
    <w:p w14:paraId="61C5884A" w14:textId="77777777" w:rsidR="000B021A" w:rsidRPr="00097F57" w:rsidRDefault="000B021A" w:rsidP="000B021A">
      <w:pPr>
        <w:numPr>
          <w:ilvl w:val="0"/>
          <w:numId w:val="15"/>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fluent style, with few errors of spelling, punctuation or </w:t>
      </w:r>
      <w:proofErr w:type="gramStart"/>
      <w:r w:rsidRPr="00097F57">
        <w:rPr>
          <w:rFonts w:ascii="Century Gothic" w:hAnsi="Century Gothic"/>
          <w:bCs/>
          <w:sz w:val="11"/>
          <w:szCs w:val="11"/>
        </w:rPr>
        <w:t>grammar.</w:t>
      </w:r>
      <w:proofErr w:type="gramEnd"/>
    </w:p>
    <w:p w14:paraId="720A7B56" w14:textId="77777777" w:rsidR="000B021A" w:rsidRPr="00097F57" w:rsidRDefault="000B021A" w:rsidP="000B021A">
      <w:pPr>
        <w:rPr>
          <w:rFonts w:ascii="Century Gothic" w:hAnsi="Century Gothic"/>
          <w:bCs/>
          <w:sz w:val="11"/>
          <w:szCs w:val="11"/>
        </w:rPr>
      </w:pPr>
    </w:p>
    <w:p w14:paraId="172A8722" w14:textId="77777777" w:rsidR="000B021A" w:rsidRPr="00097F57" w:rsidRDefault="000B021A" w:rsidP="000B021A">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52, 55, 58% Lower Second Class</w:t>
      </w:r>
    </w:p>
    <w:p w14:paraId="558EE49D" w14:textId="77777777" w:rsidR="000B021A" w:rsidRPr="00097F57" w:rsidRDefault="000B021A" w:rsidP="000B021A">
      <w:pPr>
        <w:numPr>
          <w:ilvl w:val="0"/>
          <w:numId w:val="16"/>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a basic understanding and knowledge of the subject and primary evidence, with a focus on question</w:t>
      </w:r>
    </w:p>
    <w:p w14:paraId="65E53CE4" w14:textId="77777777" w:rsidR="000B021A" w:rsidRPr="00097F57" w:rsidRDefault="000B021A" w:rsidP="000B021A">
      <w:pPr>
        <w:numPr>
          <w:ilvl w:val="0"/>
          <w:numId w:val="17"/>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adequate structure, usually drawing heavily on lectures or other direct </w:t>
      </w:r>
      <w:proofErr w:type="gramStart"/>
      <w:r w:rsidRPr="00097F57">
        <w:rPr>
          <w:rFonts w:ascii="Century Gothic" w:hAnsi="Century Gothic"/>
          <w:bCs/>
          <w:sz w:val="11"/>
          <w:szCs w:val="11"/>
        </w:rPr>
        <w:t>teaching.</w:t>
      </w:r>
      <w:proofErr w:type="gramEnd"/>
      <w:r w:rsidRPr="00097F57">
        <w:rPr>
          <w:rFonts w:ascii="Century Gothic" w:hAnsi="Century Gothic"/>
          <w:bCs/>
          <w:sz w:val="11"/>
          <w:szCs w:val="11"/>
        </w:rPr>
        <w:t xml:space="preserve">  </w:t>
      </w:r>
    </w:p>
    <w:p w14:paraId="265DD936" w14:textId="77777777" w:rsidR="000B021A" w:rsidRPr="00097F57" w:rsidRDefault="000B021A" w:rsidP="000B021A">
      <w:pPr>
        <w:numPr>
          <w:ilvl w:val="0"/>
          <w:numId w:val="18"/>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evidence of limited further reading, with some coverage of recommended texts.</w:t>
      </w:r>
    </w:p>
    <w:p w14:paraId="7962B30C" w14:textId="77777777" w:rsidR="000B021A" w:rsidRPr="00097F57" w:rsidRDefault="000B021A" w:rsidP="000B021A">
      <w:pPr>
        <w:numPr>
          <w:ilvl w:val="0"/>
          <w:numId w:val="19"/>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adequately presented, with some referencing of sources and a short bibliography.</w:t>
      </w:r>
    </w:p>
    <w:p w14:paraId="5A7BC9AB" w14:textId="77777777" w:rsidR="000B021A" w:rsidRPr="00097F57" w:rsidRDefault="000B021A" w:rsidP="000B021A">
      <w:pPr>
        <w:numPr>
          <w:ilvl w:val="0"/>
          <w:numId w:val="20"/>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straightforward style, and may include some errors of spelling, punctuation or </w:t>
      </w:r>
      <w:proofErr w:type="gramStart"/>
      <w:r w:rsidRPr="00097F57">
        <w:rPr>
          <w:rFonts w:ascii="Century Gothic" w:hAnsi="Century Gothic"/>
          <w:bCs/>
          <w:sz w:val="11"/>
          <w:szCs w:val="11"/>
        </w:rPr>
        <w:t>grammar.</w:t>
      </w:r>
      <w:proofErr w:type="gramEnd"/>
    </w:p>
    <w:p w14:paraId="59F49E21" w14:textId="77777777" w:rsidR="000B021A" w:rsidRPr="00097F57" w:rsidRDefault="000B021A" w:rsidP="000B021A">
      <w:pPr>
        <w:numPr>
          <w:ilvl w:val="0"/>
          <w:numId w:val="20"/>
        </w:numPr>
        <w:spacing w:after="0" w:line="240" w:lineRule="auto"/>
        <w:ind w:left="0"/>
        <w:jc w:val="both"/>
        <w:rPr>
          <w:rFonts w:ascii="Century Gothic" w:hAnsi="Century Gothic"/>
          <w:bCs/>
          <w:sz w:val="11"/>
          <w:szCs w:val="11"/>
        </w:rPr>
      </w:pPr>
    </w:p>
    <w:p w14:paraId="18633F3E" w14:textId="77777777" w:rsidR="000B021A" w:rsidRPr="00097F57" w:rsidRDefault="000B021A" w:rsidP="000B021A">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45, 48% Third Class</w:t>
      </w:r>
    </w:p>
    <w:p w14:paraId="327DEC8A" w14:textId="77777777" w:rsidR="000B021A" w:rsidRPr="00097F57" w:rsidRDefault="000B021A" w:rsidP="000B021A">
      <w:pPr>
        <w:numPr>
          <w:ilvl w:val="0"/>
          <w:numId w:val="25"/>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some general understanding and knowledge of the subject and primary evidence, but will also show some weaknesses in detailed understanding or in its range of knowledge.  There may be evidence of a lack of clear focus on the wording of the question.</w:t>
      </w:r>
    </w:p>
    <w:p w14:paraId="23E83AC2" w14:textId="77777777" w:rsidR="000B021A" w:rsidRPr="00097F57" w:rsidRDefault="000B021A" w:rsidP="000B021A">
      <w:pPr>
        <w:numPr>
          <w:ilvl w:val="0"/>
          <w:numId w:val="21"/>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simple structure, usually drawing exclusively on lectures or other direct </w:t>
      </w:r>
      <w:proofErr w:type="gramStart"/>
      <w:r w:rsidRPr="00097F57">
        <w:rPr>
          <w:rFonts w:ascii="Century Gothic" w:hAnsi="Century Gothic"/>
          <w:bCs/>
          <w:sz w:val="11"/>
          <w:szCs w:val="11"/>
        </w:rPr>
        <w:t>teaching.</w:t>
      </w:r>
      <w:proofErr w:type="gramEnd"/>
      <w:r w:rsidRPr="00097F57">
        <w:rPr>
          <w:rFonts w:ascii="Century Gothic" w:hAnsi="Century Gothic"/>
          <w:bCs/>
          <w:sz w:val="11"/>
          <w:szCs w:val="11"/>
        </w:rPr>
        <w:t xml:space="preserve">  </w:t>
      </w:r>
    </w:p>
    <w:p w14:paraId="1F22E90A" w14:textId="77777777" w:rsidR="000B021A" w:rsidRPr="00097F57" w:rsidRDefault="000B021A" w:rsidP="000B021A">
      <w:pPr>
        <w:numPr>
          <w:ilvl w:val="0"/>
          <w:numId w:val="22"/>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or very limited evidence of further reading.</w:t>
      </w:r>
    </w:p>
    <w:p w14:paraId="1952DFD4" w14:textId="77777777" w:rsidR="000B021A" w:rsidRPr="00097F57" w:rsidRDefault="000B021A" w:rsidP="000B021A">
      <w:pPr>
        <w:numPr>
          <w:ilvl w:val="0"/>
          <w:numId w:val="23"/>
        </w:numPr>
        <w:spacing w:after="0" w:line="240" w:lineRule="auto"/>
        <w:ind w:left="0"/>
        <w:jc w:val="both"/>
        <w:rPr>
          <w:rFonts w:ascii="Century Gothic" w:hAnsi="Century Gothic"/>
          <w:bCs/>
          <w:sz w:val="11"/>
          <w:szCs w:val="11"/>
        </w:rPr>
      </w:pPr>
      <w:r w:rsidRPr="00097F57">
        <w:rPr>
          <w:rFonts w:ascii="Century Gothic" w:hAnsi="Century Gothic"/>
          <w:bCs/>
          <w:sz w:val="11"/>
          <w:szCs w:val="11"/>
        </w:rPr>
        <w:t>has significant weaknesses in presentation, with little or no referencing of sources, and an inadequate or absent bibliography.</w:t>
      </w:r>
    </w:p>
    <w:p w14:paraId="1B618E87" w14:textId="77777777" w:rsidR="000B021A" w:rsidRPr="00097F57" w:rsidRDefault="000B021A" w:rsidP="000B021A">
      <w:pPr>
        <w:numPr>
          <w:ilvl w:val="0"/>
          <w:numId w:val="24"/>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simple style, with significant errors of spelling, punctuation or </w:t>
      </w:r>
      <w:proofErr w:type="gramStart"/>
      <w:r w:rsidRPr="00097F57">
        <w:rPr>
          <w:rFonts w:ascii="Century Gothic" w:hAnsi="Century Gothic"/>
          <w:bCs/>
          <w:sz w:val="11"/>
          <w:szCs w:val="11"/>
        </w:rPr>
        <w:t>grammar.</w:t>
      </w:r>
      <w:proofErr w:type="gramEnd"/>
    </w:p>
    <w:p w14:paraId="08A5819A" w14:textId="77777777" w:rsidR="000B021A" w:rsidRPr="00097F57" w:rsidRDefault="000B021A" w:rsidP="000B021A">
      <w:pPr>
        <w:rPr>
          <w:rFonts w:ascii="Century Gothic" w:hAnsi="Century Gothic"/>
          <w:bCs/>
          <w:sz w:val="11"/>
          <w:szCs w:val="11"/>
        </w:rPr>
      </w:pPr>
    </w:p>
    <w:p w14:paraId="50699908" w14:textId="77777777" w:rsidR="000B021A" w:rsidRPr="00097F57" w:rsidRDefault="000B021A" w:rsidP="000B021A">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42% Low Third Class</w:t>
      </w:r>
    </w:p>
    <w:p w14:paraId="7E20A88F" w14:textId="77777777" w:rsidR="000B021A" w:rsidRPr="00097F57" w:rsidRDefault="000B021A" w:rsidP="000B021A">
      <w:pPr>
        <w:numPr>
          <w:ilvl w:val="0"/>
          <w:numId w:val="30"/>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limited general understanding of the subject and primary evidence, but will demonstrate significant weaknesses in detailed understanding. The coverage of the essay is likely to be sketchy, with some significant errors in factual details. There may be evidence of a lack of clear focus on the wording of the question.</w:t>
      </w:r>
    </w:p>
    <w:p w14:paraId="45EF824A" w14:textId="77777777" w:rsidR="000B021A" w:rsidRPr="00097F57" w:rsidRDefault="000B021A" w:rsidP="000B021A">
      <w:pPr>
        <w:numPr>
          <w:ilvl w:val="0"/>
          <w:numId w:val="26"/>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sketchy structure, usually drawing exclusively on lectures or other direct teaching, but with significant </w:t>
      </w:r>
      <w:proofErr w:type="gramStart"/>
      <w:r w:rsidRPr="00097F57">
        <w:rPr>
          <w:rFonts w:ascii="Century Gothic" w:hAnsi="Century Gothic"/>
          <w:bCs/>
          <w:sz w:val="11"/>
          <w:szCs w:val="11"/>
        </w:rPr>
        <w:t>weaknesses</w:t>
      </w:r>
      <w:proofErr w:type="gramEnd"/>
      <w:r w:rsidRPr="00097F57">
        <w:rPr>
          <w:rFonts w:ascii="Century Gothic" w:hAnsi="Century Gothic"/>
          <w:bCs/>
          <w:sz w:val="11"/>
          <w:szCs w:val="11"/>
        </w:rPr>
        <w:t xml:space="preserve">   </w:t>
      </w:r>
    </w:p>
    <w:p w14:paraId="106632F8" w14:textId="77777777" w:rsidR="000B021A" w:rsidRPr="00097F57" w:rsidRDefault="000B021A" w:rsidP="000B021A">
      <w:pPr>
        <w:numPr>
          <w:ilvl w:val="0"/>
          <w:numId w:val="27"/>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evidence of further reading.</w:t>
      </w:r>
    </w:p>
    <w:p w14:paraId="3BBDFEA7" w14:textId="77777777" w:rsidR="000B021A" w:rsidRPr="00097F57" w:rsidRDefault="000B021A" w:rsidP="000B021A">
      <w:pPr>
        <w:numPr>
          <w:ilvl w:val="0"/>
          <w:numId w:val="28"/>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poorly presented, with little or no referencing of sources, and an inadequate or absent bibliography.</w:t>
      </w:r>
    </w:p>
    <w:p w14:paraId="02DF2D1B" w14:textId="77777777" w:rsidR="000B021A" w:rsidRPr="00097F57" w:rsidRDefault="000B021A" w:rsidP="000B021A">
      <w:pPr>
        <w:numPr>
          <w:ilvl w:val="0"/>
          <w:numId w:val="29"/>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sketchy style, and with significant errors of spelling, punctuation or </w:t>
      </w:r>
      <w:proofErr w:type="gramStart"/>
      <w:r w:rsidRPr="00097F57">
        <w:rPr>
          <w:rFonts w:ascii="Century Gothic" w:hAnsi="Century Gothic"/>
          <w:bCs/>
          <w:sz w:val="11"/>
          <w:szCs w:val="11"/>
        </w:rPr>
        <w:t>grammar.</w:t>
      </w:r>
      <w:proofErr w:type="gramEnd"/>
    </w:p>
    <w:p w14:paraId="46D20F85" w14:textId="77777777" w:rsidR="000B021A" w:rsidRPr="00097F57" w:rsidRDefault="000B021A" w:rsidP="000B021A">
      <w:pPr>
        <w:rPr>
          <w:rFonts w:ascii="Century Gothic" w:hAnsi="Century Gothic"/>
          <w:bCs/>
          <w:sz w:val="11"/>
          <w:szCs w:val="11"/>
        </w:rPr>
      </w:pPr>
    </w:p>
    <w:p w14:paraId="03AA2954" w14:textId="77777777" w:rsidR="000B021A" w:rsidRPr="00097F57" w:rsidRDefault="000B021A" w:rsidP="000B021A">
      <w:pPr>
        <w:spacing w:line="240" w:lineRule="auto"/>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33, 35, 38% Marginal Fail</w:t>
      </w:r>
    </w:p>
    <w:p w14:paraId="320034FD" w14:textId="77777777" w:rsidR="000B021A" w:rsidRPr="00097F57" w:rsidRDefault="000B021A" w:rsidP="000B021A">
      <w:pPr>
        <w:numPr>
          <w:ilvl w:val="0"/>
          <w:numId w:val="31"/>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no understanding of the subject or of primary evidence, and fails to address the question in any meaningful way.  Information supplied is largely erroneous or has little or no relevance to the question.</w:t>
      </w:r>
    </w:p>
    <w:p w14:paraId="4CFD8D99" w14:textId="77777777" w:rsidR="000B021A" w:rsidRPr="00097F57" w:rsidRDefault="000B021A" w:rsidP="000B021A">
      <w:pPr>
        <w:numPr>
          <w:ilvl w:val="0"/>
          <w:numId w:val="32"/>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inadequate structure, with no sense of a logical </w:t>
      </w:r>
      <w:proofErr w:type="gramStart"/>
      <w:r w:rsidRPr="00097F57">
        <w:rPr>
          <w:rFonts w:ascii="Century Gothic" w:hAnsi="Century Gothic"/>
          <w:bCs/>
          <w:sz w:val="11"/>
          <w:szCs w:val="11"/>
        </w:rPr>
        <w:t>argument.</w:t>
      </w:r>
      <w:proofErr w:type="gramEnd"/>
    </w:p>
    <w:p w14:paraId="362E0F8F" w14:textId="77777777" w:rsidR="000B021A" w:rsidRPr="00097F57" w:rsidRDefault="000B021A" w:rsidP="000B021A">
      <w:pPr>
        <w:numPr>
          <w:ilvl w:val="0"/>
          <w:numId w:val="33"/>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evidence of further reading.</w:t>
      </w:r>
    </w:p>
    <w:p w14:paraId="2017A6C9" w14:textId="77777777" w:rsidR="000B021A" w:rsidRPr="00097F57" w:rsidRDefault="000B021A" w:rsidP="000B021A">
      <w:pPr>
        <w:numPr>
          <w:ilvl w:val="0"/>
          <w:numId w:val="34"/>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poorly presented, with no referencing of sources, and an inadequate or absent bibliography.</w:t>
      </w:r>
    </w:p>
    <w:p w14:paraId="46662B96" w14:textId="77777777" w:rsidR="000B021A" w:rsidRPr="00097F57" w:rsidRDefault="000B021A" w:rsidP="000B021A">
      <w:pPr>
        <w:numPr>
          <w:ilvl w:val="0"/>
          <w:numId w:val="35"/>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inadequate style, with significant errors of spelling, punctuation or </w:t>
      </w:r>
      <w:proofErr w:type="gramStart"/>
      <w:r w:rsidRPr="00097F57">
        <w:rPr>
          <w:rFonts w:ascii="Century Gothic" w:hAnsi="Century Gothic"/>
          <w:bCs/>
          <w:sz w:val="11"/>
          <w:szCs w:val="11"/>
        </w:rPr>
        <w:t>grammar.</w:t>
      </w:r>
      <w:proofErr w:type="gramEnd"/>
    </w:p>
    <w:p w14:paraId="58A2E6AB" w14:textId="77777777" w:rsidR="000B021A" w:rsidRPr="00097F57" w:rsidRDefault="000B021A" w:rsidP="000B021A">
      <w:pPr>
        <w:rPr>
          <w:rFonts w:ascii="Century Gothic" w:hAnsi="Century Gothic"/>
          <w:bCs/>
          <w:sz w:val="11"/>
          <w:szCs w:val="11"/>
        </w:rPr>
      </w:pPr>
    </w:p>
    <w:p w14:paraId="7C780B67" w14:textId="77777777" w:rsidR="000B021A" w:rsidRPr="00097F57" w:rsidRDefault="000B021A" w:rsidP="000B021A">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2-28% Clear Fail</w:t>
      </w:r>
    </w:p>
    <w:p w14:paraId="245A7418" w14:textId="77777777" w:rsidR="000B021A" w:rsidRPr="00097F57" w:rsidRDefault="000B021A" w:rsidP="000B021A">
      <w:pPr>
        <w:numPr>
          <w:ilvl w:val="0"/>
          <w:numId w:val="36"/>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demonstrates no understanding of the subject or of primary evidence, and fails to address the question in any meaningful way.  Information supplied is erroneous or has no relevance to the question. </w:t>
      </w:r>
    </w:p>
    <w:p w14:paraId="3D2471FE" w14:textId="77777777" w:rsidR="000B021A" w:rsidRPr="00097F57" w:rsidRDefault="000B021A" w:rsidP="000B021A">
      <w:pPr>
        <w:numPr>
          <w:ilvl w:val="0"/>
          <w:numId w:val="37"/>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incomplete, fragmentary or chaotic structure, with no sense of a logical argument. </w:t>
      </w:r>
    </w:p>
    <w:p w14:paraId="3A35FCBC" w14:textId="77777777" w:rsidR="000B021A" w:rsidRPr="00097F57" w:rsidRDefault="000B021A" w:rsidP="000B021A">
      <w:pPr>
        <w:numPr>
          <w:ilvl w:val="0"/>
          <w:numId w:val="38"/>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evidence of further reading.</w:t>
      </w:r>
    </w:p>
    <w:p w14:paraId="442D7B82" w14:textId="77777777" w:rsidR="000B021A" w:rsidRPr="00097F57" w:rsidRDefault="000B021A" w:rsidP="000B021A">
      <w:pPr>
        <w:numPr>
          <w:ilvl w:val="0"/>
          <w:numId w:val="39"/>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poorly presented, with no referencing of sources, and an inadequate or absent bibliography.</w:t>
      </w:r>
    </w:p>
    <w:p w14:paraId="1FE80172" w14:textId="77777777" w:rsidR="000B021A" w:rsidRPr="00097F57" w:rsidRDefault="000B021A" w:rsidP="000B021A">
      <w:pPr>
        <w:numPr>
          <w:ilvl w:val="0"/>
          <w:numId w:val="40"/>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inadequate style, with substantial errors of spelling, punctuation or </w:t>
      </w:r>
      <w:proofErr w:type="gramStart"/>
      <w:r w:rsidRPr="00097F57">
        <w:rPr>
          <w:rFonts w:ascii="Century Gothic" w:hAnsi="Century Gothic"/>
          <w:bCs/>
          <w:sz w:val="11"/>
          <w:szCs w:val="11"/>
        </w:rPr>
        <w:t>grammar.</w:t>
      </w:r>
      <w:proofErr w:type="gramEnd"/>
    </w:p>
    <w:p w14:paraId="228C3660" w14:textId="77777777" w:rsidR="000B021A" w:rsidRPr="00097F57" w:rsidRDefault="000B021A" w:rsidP="000B021A">
      <w:pPr>
        <w:jc w:val="both"/>
        <w:rPr>
          <w:rFonts w:ascii="Century Gothic" w:hAnsi="Century Gothic"/>
          <w:bCs/>
          <w:sz w:val="11"/>
          <w:szCs w:val="11"/>
        </w:rPr>
      </w:pPr>
    </w:p>
    <w:p w14:paraId="780ED10C" w14:textId="77777777" w:rsidR="000B021A" w:rsidRPr="00097F57" w:rsidRDefault="000B021A" w:rsidP="000B021A">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0% Zero</w:t>
      </w:r>
    </w:p>
    <w:p w14:paraId="6B76A0D5" w14:textId="77777777" w:rsidR="000B021A" w:rsidRPr="00097F57" w:rsidRDefault="000B021A" w:rsidP="000B021A">
      <w:pPr>
        <w:jc w:val="both"/>
        <w:rPr>
          <w:rFonts w:ascii="Century Gothic" w:hAnsi="Century Gothic"/>
          <w:bCs/>
          <w:sz w:val="11"/>
          <w:szCs w:val="11"/>
        </w:rPr>
      </w:pPr>
      <w:r w:rsidRPr="00097F57">
        <w:rPr>
          <w:rFonts w:ascii="Century Gothic" w:hAnsi="Century Gothic"/>
          <w:bCs/>
          <w:sz w:val="11"/>
          <w:szCs w:val="11"/>
        </w:rPr>
        <w:t xml:space="preserve">This mark is usually reserved for essays that do not make any serious attempt to answer the question (as defined in College Regulations).  </w:t>
      </w:r>
    </w:p>
    <w:p w14:paraId="68668A54" w14:textId="766FDA4A" w:rsidR="00A45453" w:rsidRDefault="00A45453">
      <w:pPr>
        <w:rPr>
          <w:rFonts w:cs="Times New Roman"/>
          <w:b/>
          <w:sz w:val="20"/>
          <w:szCs w:val="20"/>
          <w:lang w:val="en-GB" w:eastAsia="en-GB"/>
        </w:rPr>
      </w:pPr>
    </w:p>
    <w:p w14:paraId="72DA59B6" w14:textId="77777777" w:rsidR="00F74235" w:rsidRDefault="00F74235" w:rsidP="009F638F">
      <w:pPr>
        <w:spacing w:after="0" w:line="240" w:lineRule="auto"/>
        <w:rPr>
          <w:rFonts w:cs="Times New Roman"/>
          <w:b/>
          <w:sz w:val="20"/>
          <w:szCs w:val="20"/>
          <w:lang w:val="en-GB" w:eastAsia="en-GB"/>
        </w:rPr>
      </w:pPr>
    </w:p>
    <w:p w14:paraId="40D5967A" w14:textId="5BEECA79" w:rsidR="009F638F" w:rsidRDefault="00886E23" w:rsidP="009F638F">
      <w:pPr>
        <w:spacing w:after="0" w:line="240" w:lineRule="auto"/>
        <w:rPr>
          <w:rFonts w:cs="Times New Roman"/>
          <w:b/>
          <w:sz w:val="20"/>
          <w:szCs w:val="20"/>
          <w:lang w:val="en-GB" w:eastAsia="en-GB"/>
        </w:rPr>
      </w:pPr>
      <w:r>
        <w:rPr>
          <w:rFonts w:cs="Times New Roman"/>
          <w:b/>
          <w:sz w:val="20"/>
          <w:szCs w:val="20"/>
          <w:lang w:val="en-GB" w:eastAsia="en-GB"/>
        </w:rPr>
        <w:lastRenderedPageBreak/>
        <w:t>PASTE YOUR ESSAY OR ASSIGNMENT HERE</w:t>
      </w:r>
    </w:p>
    <w:p w14:paraId="5CFA979E" w14:textId="77777777" w:rsidR="009F638F" w:rsidRDefault="009F638F" w:rsidP="009F638F">
      <w:pPr>
        <w:spacing w:after="0" w:line="240" w:lineRule="auto"/>
        <w:rPr>
          <w:rFonts w:cs="Times New Roman"/>
          <w:b/>
          <w:sz w:val="20"/>
          <w:szCs w:val="20"/>
          <w:lang w:val="en-GB" w:eastAsia="en-GB"/>
        </w:rPr>
      </w:pPr>
    </w:p>
    <w:sectPr w:rsidR="009F638F" w:rsidSect="00343E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2C6" w14:textId="77777777" w:rsidR="00156B0D" w:rsidRDefault="00156B0D" w:rsidP="000B6EE2">
      <w:pPr>
        <w:spacing w:after="0" w:line="240" w:lineRule="auto"/>
      </w:pPr>
      <w:r>
        <w:separator/>
      </w:r>
    </w:p>
  </w:endnote>
  <w:endnote w:type="continuationSeparator" w:id="0">
    <w:p w14:paraId="00D343A0" w14:textId="77777777" w:rsidR="00156B0D" w:rsidRDefault="00156B0D"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3F5C" w14:textId="77777777" w:rsidR="007D6DE9" w:rsidRDefault="007D6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AF42" w14:textId="77777777" w:rsidR="007D6DE9" w:rsidRDefault="007D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5767" w14:textId="77777777" w:rsidR="007D6DE9" w:rsidRDefault="007D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E063" w14:textId="77777777" w:rsidR="00156B0D" w:rsidRDefault="00156B0D" w:rsidP="000B6EE2">
      <w:pPr>
        <w:spacing w:after="0" w:line="240" w:lineRule="auto"/>
      </w:pPr>
      <w:r>
        <w:separator/>
      </w:r>
    </w:p>
  </w:footnote>
  <w:footnote w:type="continuationSeparator" w:id="0">
    <w:p w14:paraId="00E85B61" w14:textId="77777777" w:rsidR="00156B0D" w:rsidRDefault="00156B0D" w:rsidP="000B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5E84" w14:textId="77777777" w:rsidR="007D6DE9" w:rsidRDefault="007D6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2E2E" w14:textId="77777777" w:rsidR="000B6EE2" w:rsidRDefault="00343EE2" w:rsidP="00343EE2">
    <w:pPr>
      <w:pStyle w:val="Header"/>
      <w:tabs>
        <w:tab w:val="left" w:pos="1290"/>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03FA"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2DFBCA4F" wp14:editId="2F8D0427">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7C5A6256"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0"/>
  </w:num>
  <w:num w:numId="3">
    <w:abstractNumId w:val="27"/>
  </w:num>
  <w:num w:numId="4">
    <w:abstractNumId w:val="11"/>
  </w:num>
  <w:num w:numId="5">
    <w:abstractNumId w:val="20"/>
  </w:num>
  <w:num w:numId="6">
    <w:abstractNumId w:val="34"/>
  </w:num>
  <w:num w:numId="7">
    <w:abstractNumId w:val="23"/>
  </w:num>
  <w:num w:numId="8">
    <w:abstractNumId w:val="28"/>
  </w:num>
  <w:num w:numId="9">
    <w:abstractNumId w:val="4"/>
  </w:num>
  <w:num w:numId="10">
    <w:abstractNumId w:val="10"/>
  </w:num>
  <w:num w:numId="11">
    <w:abstractNumId w:val="36"/>
  </w:num>
  <w:num w:numId="12">
    <w:abstractNumId w:val="37"/>
  </w:num>
  <w:num w:numId="13">
    <w:abstractNumId w:val="8"/>
  </w:num>
  <w:num w:numId="14">
    <w:abstractNumId w:val="12"/>
  </w:num>
  <w:num w:numId="15">
    <w:abstractNumId w:val="25"/>
  </w:num>
  <w:num w:numId="16">
    <w:abstractNumId w:val="16"/>
  </w:num>
  <w:num w:numId="17">
    <w:abstractNumId w:val="24"/>
  </w:num>
  <w:num w:numId="18">
    <w:abstractNumId w:val="2"/>
  </w:num>
  <w:num w:numId="19">
    <w:abstractNumId w:val="22"/>
  </w:num>
  <w:num w:numId="20">
    <w:abstractNumId w:val="13"/>
  </w:num>
  <w:num w:numId="21">
    <w:abstractNumId w:val="39"/>
  </w:num>
  <w:num w:numId="22">
    <w:abstractNumId w:val="1"/>
  </w:num>
  <w:num w:numId="23">
    <w:abstractNumId w:val="15"/>
  </w:num>
  <w:num w:numId="24">
    <w:abstractNumId w:val="5"/>
  </w:num>
  <w:num w:numId="25">
    <w:abstractNumId w:val="18"/>
  </w:num>
  <w:num w:numId="26">
    <w:abstractNumId w:val="6"/>
  </w:num>
  <w:num w:numId="27">
    <w:abstractNumId w:val="31"/>
  </w:num>
  <w:num w:numId="28">
    <w:abstractNumId w:val="17"/>
  </w:num>
  <w:num w:numId="29">
    <w:abstractNumId w:val="38"/>
  </w:num>
  <w:num w:numId="30">
    <w:abstractNumId w:val="21"/>
  </w:num>
  <w:num w:numId="31">
    <w:abstractNumId w:val="35"/>
  </w:num>
  <w:num w:numId="32">
    <w:abstractNumId w:val="26"/>
  </w:num>
  <w:num w:numId="33">
    <w:abstractNumId w:val="0"/>
  </w:num>
  <w:num w:numId="34">
    <w:abstractNumId w:val="14"/>
  </w:num>
  <w:num w:numId="35">
    <w:abstractNumId w:val="3"/>
  </w:num>
  <w:num w:numId="36">
    <w:abstractNumId w:val="7"/>
  </w:num>
  <w:num w:numId="37">
    <w:abstractNumId w:val="9"/>
  </w:num>
  <w:num w:numId="38">
    <w:abstractNumId w:val="19"/>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E2"/>
    <w:rsid w:val="00071C76"/>
    <w:rsid w:val="000B021A"/>
    <w:rsid w:val="000B2F2E"/>
    <w:rsid w:val="000B6EE2"/>
    <w:rsid w:val="00156B0D"/>
    <w:rsid w:val="0016290C"/>
    <w:rsid w:val="002156DF"/>
    <w:rsid w:val="00270959"/>
    <w:rsid w:val="00343EE2"/>
    <w:rsid w:val="0034547A"/>
    <w:rsid w:val="00366237"/>
    <w:rsid w:val="004004C4"/>
    <w:rsid w:val="004D27F9"/>
    <w:rsid w:val="005F791B"/>
    <w:rsid w:val="00656A1B"/>
    <w:rsid w:val="00701B6A"/>
    <w:rsid w:val="007D6DE9"/>
    <w:rsid w:val="007E0E18"/>
    <w:rsid w:val="00815441"/>
    <w:rsid w:val="00856F46"/>
    <w:rsid w:val="008616B3"/>
    <w:rsid w:val="00886E23"/>
    <w:rsid w:val="008F7826"/>
    <w:rsid w:val="0090398C"/>
    <w:rsid w:val="0093074D"/>
    <w:rsid w:val="00945D35"/>
    <w:rsid w:val="009951DE"/>
    <w:rsid w:val="009C5E0B"/>
    <w:rsid w:val="009F638F"/>
    <w:rsid w:val="00A45453"/>
    <w:rsid w:val="00A678CF"/>
    <w:rsid w:val="00AC230A"/>
    <w:rsid w:val="00B32B2F"/>
    <w:rsid w:val="00B43ED5"/>
    <w:rsid w:val="00B91C43"/>
    <w:rsid w:val="00C769F3"/>
    <w:rsid w:val="00C76A6F"/>
    <w:rsid w:val="00D956F1"/>
    <w:rsid w:val="00DB516A"/>
    <w:rsid w:val="00DC4E59"/>
    <w:rsid w:val="00E252AD"/>
    <w:rsid w:val="00ED6456"/>
    <w:rsid w:val="00F00DB1"/>
    <w:rsid w:val="00F47617"/>
    <w:rsid w:val="00F74235"/>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9238"/>
  <w15:chartTrackingRefBased/>
  <w15:docId w15:val="{AD61DF04-7CBC-45FB-A835-1FCAD35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yalholloway.ac.uk/students/study/our-college-regulations/attendance-and-academic-regulation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Hawley, Richard</cp:lastModifiedBy>
  <cp:revision>5</cp:revision>
  <dcterms:created xsi:type="dcterms:W3CDTF">2018-10-15T10:59:00Z</dcterms:created>
  <dcterms:modified xsi:type="dcterms:W3CDTF">2018-10-15T14:17:00Z</dcterms:modified>
</cp:coreProperties>
</file>