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DF" w:rsidRPr="00A42B52" w:rsidRDefault="009A32DF" w:rsidP="0005044F">
      <w:pPr>
        <w:spacing w:before="120" w:after="120" w:line="240" w:lineRule="auto"/>
        <w:jc w:val="center"/>
        <w:rPr>
          <w:rFonts w:ascii="Corbel" w:hAnsi="Corbel"/>
          <w:b/>
        </w:rPr>
      </w:pPr>
      <w:r w:rsidRPr="00A42B52">
        <w:rPr>
          <w:rFonts w:ascii="Corbel" w:hAnsi="Corbel"/>
          <w:b/>
        </w:rPr>
        <w:t xml:space="preserve">RATIFICATION AND REVOCATION OF AWARDS </w:t>
      </w:r>
    </w:p>
    <w:p w:rsidR="009A32DF" w:rsidRPr="00A42B52" w:rsidRDefault="009A32DF" w:rsidP="0005044F">
      <w:pPr>
        <w:spacing w:before="120" w:after="120" w:line="240" w:lineRule="auto"/>
        <w:jc w:val="center"/>
        <w:rPr>
          <w:rFonts w:ascii="Corbel" w:hAnsi="Corbel"/>
          <w:b/>
        </w:rPr>
      </w:pPr>
      <w:r w:rsidRPr="00A42B52">
        <w:rPr>
          <w:rFonts w:ascii="Corbel" w:hAnsi="Corbel"/>
          <w:b/>
        </w:rPr>
        <w:t>APPROVAL AND SUSPENSION OF COLLEGE ACADEMIC REGULATIONS</w:t>
      </w:r>
    </w:p>
    <w:p w:rsidR="009A32DF" w:rsidRPr="00A42B52" w:rsidRDefault="009A32DF" w:rsidP="0005044F">
      <w:pPr>
        <w:spacing w:before="120" w:after="120" w:line="240" w:lineRule="auto"/>
        <w:jc w:val="center"/>
        <w:rPr>
          <w:rFonts w:ascii="Corbel" w:hAnsi="Corbel"/>
          <w:b/>
        </w:rPr>
      </w:pPr>
      <w:r w:rsidRPr="00A42B52">
        <w:rPr>
          <w:rFonts w:ascii="Corbel" w:hAnsi="Corbel"/>
          <w:b/>
        </w:rPr>
        <w:t>REGULATIONS ON THE CONDUCT OF ASSESSMENT</w:t>
      </w:r>
    </w:p>
    <w:p w:rsidR="009A32DF" w:rsidRPr="00A42B52" w:rsidRDefault="009A32DF" w:rsidP="0005044F">
      <w:pPr>
        <w:spacing w:before="120" w:after="120" w:line="240" w:lineRule="auto"/>
        <w:jc w:val="center"/>
        <w:rPr>
          <w:rFonts w:ascii="Corbel" w:hAnsi="Corbel"/>
          <w:b/>
        </w:rPr>
      </w:pPr>
      <w:r w:rsidRPr="00A42B52">
        <w:rPr>
          <w:rFonts w:ascii="Corbel" w:hAnsi="Corbel"/>
          <w:b/>
        </w:rPr>
        <w:t>SUMMARY OF REGULATORY AMENDMENTS AND/OR ADDITIONS FOR ACADEMIC YEAR 2016/17</w:t>
      </w:r>
      <w:r w:rsidRPr="00A42B52">
        <w:rPr>
          <w:rFonts w:ascii="Corbel" w:hAnsi="Corbel"/>
          <w:b/>
          <w:i/>
        </w:rPr>
        <w:t xml:space="preserve"> </w:t>
      </w:r>
    </w:p>
    <w:p w:rsidR="0052589A" w:rsidRPr="00A42B52" w:rsidRDefault="00FB75E8" w:rsidP="0005044F">
      <w:pPr>
        <w:spacing w:before="120" w:after="120" w:line="240" w:lineRule="auto"/>
        <w:rPr>
          <w:rFonts w:ascii="Corbel" w:hAnsi="Corbel"/>
          <w:b/>
          <w:i/>
        </w:rPr>
      </w:pPr>
      <w:r w:rsidRPr="00A42B52">
        <w:rPr>
          <w:rFonts w:ascii="Corbel" w:hAnsi="Corbel"/>
          <w:b/>
          <w:i/>
        </w:rPr>
        <w:t>The wording in bold reflects the changed wording</w:t>
      </w:r>
      <w:r w:rsidR="0052589A" w:rsidRPr="00A42B52">
        <w:rPr>
          <w:rFonts w:ascii="Corbel" w:hAnsi="Corbel"/>
          <w:b/>
          <w:i/>
        </w:rPr>
        <w:t>.</w:t>
      </w:r>
    </w:p>
    <w:p w:rsidR="00FB75E8" w:rsidRPr="00A42B52" w:rsidRDefault="00A42B52" w:rsidP="0005044F">
      <w:pPr>
        <w:spacing w:before="120" w:after="120" w:line="240" w:lineRule="auto"/>
        <w:rPr>
          <w:rFonts w:ascii="Corbel" w:hAnsi="Corbel"/>
          <w:b/>
        </w:rPr>
      </w:pPr>
      <w:r w:rsidRPr="00A42B52">
        <w:rPr>
          <w:rFonts w:ascii="Corbel" w:hAnsi="Corbel"/>
          <w:b/>
        </w:rPr>
        <w:t>RATIFICATION AND REVOCATION OF AWARDS</w:t>
      </w:r>
    </w:p>
    <w:tbl>
      <w:tblPr>
        <w:tblStyle w:val="TableGrid"/>
        <w:tblW w:w="10632" w:type="dxa"/>
        <w:tblInd w:w="-856" w:type="dxa"/>
        <w:tblLook w:val="04A0"/>
      </w:tblPr>
      <w:tblGrid>
        <w:gridCol w:w="2552"/>
        <w:gridCol w:w="6804"/>
        <w:gridCol w:w="1276"/>
      </w:tblGrid>
      <w:tr w:rsidR="00EE29F7" w:rsidRPr="00A42B52" w:rsidTr="009A32DF">
        <w:tc>
          <w:tcPr>
            <w:tcW w:w="2552" w:type="dxa"/>
            <w:shd w:val="clear" w:color="auto" w:fill="BFBFBF" w:themeFill="background1" w:themeFillShade="BF"/>
          </w:tcPr>
          <w:p w:rsidR="00EE29F7" w:rsidRPr="00A42B52" w:rsidRDefault="00EE29F7" w:rsidP="0005044F">
            <w:pPr>
              <w:spacing w:before="120" w:after="120"/>
              <w:rPr>
                <w:rFonts w:ascii="Corbel" w:hAnsi="Corbel"/>
                <w:b/>
              </w:rPr>
            </w:pPr>
            <w:r w:rsidRPr="00A42B52">
              <w:rPr>
                <w:rFonts w:ascii="Corbel" w:hAnsi="Corbel"/>
                <w:b/>
              </w:rPr>
              <w:t>Section number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:rsidR="00EE29F7" w:rsidRPr="00A42B52" w:rsidRDefault="009A32DF" w:rsidP="0005044F">
            <w:pPr>
              <w:spacing w:before="120" w:after="120"/>
              <w:rPr>
                <w:rFonts w:ascii="Corbel" w:hAnsi="Corbel"/>
                <w:b/>
              </w:rPr>
            </w:pPr>
            <w:r w:rsidRPr="00A42B52">
              <w:rPr>
                <w:rFonts w:ascii="Corbel" w:hAnsi="Corbel"/>
                <w:b/>
              </w:rPr>
              <w:t>Relevant paragraph(s)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E29F7" w:rsidRPr="00A42B52" w:rsidRDefault="00EE29F7" w:rsidP="0005044F">
            <w:pPr>
              <w:spacing w:before="120" w:after="120"/>
              <w:jc w:val="center"/>
              <w:rPr>
                <w:rFonts w:ascii="Corbel" w:hAnsi="Corbel"/>
                <w:b/>
              </w:rPr>
            </w:pPr>
            <w:r w:rsidRPr="00A42B52">
              <w:rPr>
                <w:rFonts w:ascii="Corbel" w:hAnsi="Corbel"/>
                <w:b/>
              </w:rPr>
              <w:t>Page</w:t>
            </w:r>
            <w:r w:rsidR="009A32DF" w:rsidRPr="00A42B52">
              <w:rPr>
                <w:rFonts w:ascii="Corbel" w:hAnsi="Corbel"/>
                <w:b/>
              </w:rPr>
              <w:t>(s)</w:t>
            </w:r>
          </w:p>
        </w:tc>
      </w:tr>
      <w:tr w:rsidR="00EE29F7" w:rsidRPr="00A42B52" w:rsidTr="00E653C7">
        <w:tc>
          <w:tcPr>
            <w:tcW w:w="2552" w:type="dxa"/>
          </w:tcPr>
          <w:p w:rsidR="00EE29F7" w:rsidRPr="00A42B52" w:rsidRDefault="002252F6" w:rsidP="0005044F">
            <w:pPr>
              <w:spacing w:before="120" w:after="120"/>
              <w:rPr>
                <w:rFonts w:ascii="Corbel" w:hAnsi="Corbel"/>
              </w:rPr>
            </w:pPr>
            <w:r w:rsidRPr="00A42B52">
              <w:rPr>
                <w:rFonts w:ascii="Corbel" w:hAnsi="Corbel"/>
              </w:rPr>
              <w:t>Section 2</w:t>
            </w:r>
            <w:r w:rsidR="009A32DF" w:rsidRPr="00A42B52">
              <w:rPr>
                <w:rFonts w:ascii="Corbel" w:hAnsi="Corbel"/>
              </w:rPr>
              <w:t xml:space="preserve"> (1)</w:t>
            </w:r>
          </w:p>
        </w:tc>
        <w:tc>
          <w:tcPr>
            <w:tcW w:w="6804" w:type="dxa"/>
          </w:tcPr>
          <w:p w:rsidR="009A32DF" w:rsidRPr="00A42B52" w:rsidRDefault="009A32DF" w:rsidP="0005044F">
            <w:pPr>
              <w:spacing w:before="120" w:after="120"/>
              <w:rPr>
                <w:rFonts w:ascii="Corbel" w:hAnsi="Corbel"/>
                <w:i/>
              </w:rPr>
            </w:pPr>
            <w:r w:rsidRPr="00A42B52">
              <w:rPr>
                <w:rFonts w:ascii="Corbel" w:hAnsi="Corbel"/>
                <w:i/>
              </w:rPr>
              <w:t>This amendment was required to reflect changes to the College’s statutes and Terms of reference of Academic Board.</w:t>
            </w:r>
          </w:p>
          <w:p w:rsidR="002252F6" w:rsidRPr="00A42B52" w:rsidRDefault="002252F6" w:rsidP="0005044F">
            <w:pPr>
              <w:spacing w:before="120" w:after="120"/>
              <w:rPr>
                <w:rFonts w:ascii="Corbel" w:hAnsi="Corbel"/>
              </w:rPr>
            </w:pPr>
            <w:r w:rsidRPr="00A42B52">
              <w:rPr>
                <w:rFonts w:ascii="Corbel" w:hAnsi="Corbel"/>
                <w:b/>
              </w:rPr>
              <w:t>College Awards</w:t>
            </w:r>
          </w:p>
          <w:p w:rsidR="0005044F" w:rsidRPr="0005044F" w:rsidRDefault="002252F6" w:rsidP="0005044F">
            <w:pPr>
              <w:pStyle w:val="Default"/>
              <w:numPr>
                <w:ilvl w:val="0"/>
                <w:numId w:val="3"/>
              </w:numPr>
              <w:spacing w:before="120" w:after="120"/>
              <w:ind w:left="357" w:hanging="357"/>
              <w:rPr>
                <w:b/>
                <w:color w:val="auto"/>
                <w:sz w:val="22"/>
                <w:szCs w:val="22"/>
              </w:rPr>
            </w:pPr>
            <w:r w:rsidRPr="00A42B52">
              <w:rPr>
                <w:sz w:val="22"/>
                <w:szCs w:val="22"/>
              </w:rPr>
              <w:t xml:space="preserve">Provision for the award of certificates and diplomas of Royal Holloway and Bedford New College is made within the </w:t>
            </w:r>
            <w:r w:rsidRPr="00A42B52">
              <w:rPr>
                <w:b/>
                <w:color w:val="auto"/>
                <w:sz w:val="22"/>
                <w:szCs w:val="22"/>
              </w:rPr>
              <w:t xml:space="preserve">Terms of Reference of the Academic Board. </w:t>
            </w:r>
          </w:p>
        </w:tc>
        <w:tc>
          <w:tcPr>
            <w:tcW w:w="1276" w:type="dxa"/>
          </w:tcPr>
          <w:p w:rsidR="00EE29F7" w:rsidRPr="00A42B52" w:rsidRDefault="00EE29F7" w:rsidP="0005044F">
            <w:pPr>
              <w:spacing w:before="120" w:after="120"/>
              <w:jc w:val="center"/>
              <w:rPr>
                <w:rFonts w:ascii="Corbel" w:hAnsi="Corbel"/>
              </w:rPr>
            </w:pPr>
            <w:r w:rsidRPr="00A42B52">
              <w:rPr>
                <w:rFonts w:ascii="Corbel" w:hAnsi="Corbel"/>
              </w:rPr>
              <w:t>1</w:t>
            </w:r>
          </w:p>
        </w:tc>
      </w:tr>
    </w:tbl>
    <w:p w:rsidR="00EE29F7" w:rsidRPr="00A42B52" w:rsidRDefault="00EE29F7" w:rsidP="0005044F">
      <w:pPr>
        <w:spacing w:before="120" w:after="120" w:line="240" w:lineRule="auto"/>
        <w:rPr>
          <w:rFonts w:ascii="Corbel" w:hAnsi="Corbel"/>
        </w:rPr>
      </w:pPr>
    </w:p>
    <w:p w:rsidR="00FB75E8" w:rsidRPr="00A42B52" w:rsidRDefault="00A42B52" w:rsidP="0005044F">
      <w:pPr>
        <w:spacing w:before="120" w:after="120" w:line="240" w:lineRule="auto"/>
        <w:rPr>
          <w:rFonts w:ascii="Corbel" w:hAnsi="Corbel"/>
          <w:b/>
        </w:rPr>
      </w:pPr>
      <w:r w:rsidRPr="00A42B52">
        <w:rPr>
          <w:rFonts w:ascii="Corbel" w:hAnsi="Corbel"/>
          <w:b/>
        </w:rPr>
        <w:t>APPROVAL AND SUSPENSION OF COLLEGE ACADEMIC REGULATIONS</w:t>
      </w:r>
    </w:p>
    <w:tbl>
      <w:tblPr>
        <w:tblStyle w:val="TableGrid"/>
        <w:tblW w:w="10632" w:type="dxa"/>
        <w:tblInd w:w="-856" w:type="dxa"/>
        <w:tblLook w:val="04A0"/>
      </w:tblPr>
      <w:tblGrid>
        <w:gridCol w:w="2552"/>
        <w:gridCol w:w="6804"/>
        <w:gridCol w:w="1276"/>
      </w:tblGrid>
      <w:tr w:rsidR="009A32DF" w:rsidRPr="00A42B52" w:rsidTr="009A32DF">
        <w:tc>
          <w:tcPr>
            <w:tcW w:w="2552" w:type="dxa"/>
            <w:shd w:val="clear" w:color="auto" w:fill="BFBFBF" w:themeFill="background1" w:themeFillShade="BF"/>
          </w:tcPr>
          <w:p w:rsidR="009A32DF" w:rsidRPr="00A42B52" w:rsidRDefault="009A32DF" w:rsidP="0005044F">
            <w:pPr>
              <w:spacing w:before="120" w:after="120"/>
              <w:rPr>
                <w:rFonts w:ascii="Corbel" w:hAnsi="Corbel"/>
                <w:b/>
              </w:rPr>
            </w:pPr>
            <w:r w:rsidRPr="00A42B52">
              <w:rPr>
                <w:rFonts w:ascii="Corbel" w:hAnsi="Corbel"/>
                <w:b/>
              </w:rPr>
              <w:t>Section number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:rsidR="009A32DF" w:rsidRPr="00A42B52" w:rsidRDefault="009A32DF" w:rsidP="0005044F">
            <w:pPr>
              <w:spacing w:before="120" w:after="120"/>
              <w:rPr>
                <w:rFonts w:ascii="Corbel" w:hAnsi="Corbel"/>
                <w:b/>
              </w:rPr>
            </w:pPr>
            <w:r w:rsidRPr="00A42B52">
              <w:rPr>
                <w:rFonts w:ascii="Corbel" w:hAnsi="Corbel"/>
                <w:b/>
              </w:rPr>
              <w:t>Relevant paragraph(s)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9A32DF" w:rsidRPr="00A42B52" w:rsidRDefault="009A32DF" w:rsidP="0005044F">
            <w:pPr>
              <w:spacing w:before="120" w:after="120"/>
              <w:jc w:val="center"/>
              <w:rPr>
                <w:rFonts w:ascii="Corbel" w:hAnsi="Corbel"/>
                <w:b/>
              </w:rPr>
            </w:pPr>
            <w:r w:rsidRPr="00A42B52">
              <w:rPr>
                <w:rFonts w:ascii="Corbel" w:hAnsi="Corbel"/>
                <w:b/>
              </w:rPr>
              <w:t>Page(s)</w:t>
            </w:r>
          </w:p>
        </w:tc>
      </w:tr>
      <w:tr w:rsidR="00FB75E8" w:rsidRPr="00A42B52" w:rsidTr="0072711E">
        <w:tc>
          <w:tcPr>
            <w:tcW w:w="2552" w:type="dxa"/>
          </w:tcPr>
          <w:p w:rsidR="00FB75E8" w:rsidRPr="00A42B52" w:rsidRDefault="00FB75E8" w:rsidP="0005044F">
            <w:pPr>
              <w:spacing w:before="120" w:after="120"/>
              <w:rPr>
                <w:rFonts w:ascii="Corbel" w:hAnsi="Corbel"/>
              </w:rPr>
            </w:pPr>
            <w:r w:rsidRPr="00A42B52">
              <w:rPr>
                <w:rFonts w:ascii="Corbel" w:hAnsi="Corbel"/>
              </w:rPr>
              <w:t>Section 2</w:t>
            </w:r>
            <w:r w:rsidR="009A32DF" w:rsidRPr="00A42B52">
              <w:rPr>
                <w:rFonts w:ascii="Corbel" w:hAnsi="Corbel"/>
              </w:rPr>
              <w:t xml:space="preserve"> (1)</w:t>
            </w:r>
          </w:p>
        </w:tc>
        <w:tc>
          <w:tcPr>
            <w:tcW w:w="6804" w:type="dxa"/>
          </w:tcPr>
          <w:p w:rsidR="009A32DF" w:rsidRPr="0005044F" w:rsidRDefault="009A32DF" w:rsidP="0005044F">
            <w:pPr>
              <w:spacing w:before="120" w:after="120"/>
              <w:rPr>
                <w:rFonts w:ascii="Corbel" w:hAnsi="Corbel"/>
                <w:i/>
              </w:rPr>
            </w:pPr>
            <w:r w:rsidRPr="00A42B52">
              <w:rPr>
                <w:rFonts w:ascii="Corbel" w:hAnsi="Corbel"/>
                <w:i/>
              </w:rPr>
              <w:t>This amendment was required to reflect changes to the College’s statutes and Terms of reference of Academic Board.</w:t>
            </w:r>
          </w:p>
          <w:p w:rsidR="00FB75E8" w:rsidRPr="00A42B52" w:rsidRDefault="00FB75E8" w:rsidP="0005044F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0A42B52">
              <w:rPr>
                <w:b/>
                <w:bCs/>
                <w:sz w:val="22"/>
                <w:szCs w:val="22"/>
              </w:rPr>
              <w:t xml:space="preserve">Delegation by Academic Board </w:t>
            </w:r>
          </w:p>
          <w:p w:rsidR="00FB75E8" w:rsidRPr="00A42B52" w:rsidRDefault="00FB75E8" w:rsidP="0005044F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0A42B52">
              <w:rPr>
                <w:sz w:val="22"/>
                <w:szCs w:val="22"/>
              </w:rPr>
              <w:t xml:space="preserve">(1) </w:t>
            </w:r>
            <w:r w:rsidRPr="00A42B52">
              <w:rPr>
                <w:b/>
                <w:color w:val="auto"/>
                <w:sz w:val="22"/>
                <w:szCs w:val="22"/>
              </w:rPr>
              <w:t>The Terms of Reference of</w:t>
            </w:r>
            <w:r w:rsidRPr="00A42B52">
              <w:rPr>
                <w:color w:val="auto"/>
                <w:sz w:val="22"/>
                <w:szCs w:val="22"/>
              </w:rPr>
              <w:t xml:space="preserve"> the Academic Board </w:t>
            </w:r>
            <w:r w:rsidRPr="00A42B52">
              <w:rPr>
                <w:b/>
                <w:color w:val="auto"/>
                <w:sz w:val="22"/>
                <w:szCs w:val="22"/>
              </w:rPr>
              <w:t>state that the Academic Board</w:t>
            </w:r>
            <w:r w:rsidRPr="00A42B52">
              <w:rPr>
                <w:color w:val="auto"/>
                <w:sz w:val="22"/>
                <w:szCs w:val="22"/>
              </w:rPr>
              <w:t xml:space="preserve"> may establish committees</w:t>
            </w:r>
            <w:r w:rsidRPr="00A42B52">
              <w:rPr>
                <w:sz w:val="22"/>
                <w:szCs w:val="22"/>
              </w:rPr>
              <w:t xml:space="preserve">, boards or panels, and delegate responsibilities to such bodies as appropriate, in accordance with any requirements laid down by the Statutes or by Council. </w:t>
            </w:r>
          </w:p>
        </w:tc>
        <w:tc>
          <w:tcPr>
            <w:tcW w:w="1276" w:type="dxa"/>
          </w:tcPr>
          <w:p w:rsidR="00FB75E8" w:rsidRPr="00A42B52" w:rsidRDefault="00FB75E8" w:rsidP="0005044F">
            <w:pPr>
              <w:spacing w:before="120" w:after="120"/>
              <w:jc w:val="center"/>
              <w:rPr>
                <w:rFonts w:ascii="Corbel" w:hAnsi="Corbel"/>
              </w:rPr>
            </w:pPr>
            <w:r w:rsidRPr="00A42B52">
              <w:rPr>
                <w:rFonts w:ascii="Corbel" w:hAnsi="Corbel"/>
              </w:rPr>
              <w:t>1</w:t>
            </w:r>
          </w:p>
        </w:tc>
      </w:tr>
    </w:tbl>
    <w:p w:rsidR="009A32DF" w:rsidRPr="00A42B52" w:rsidRDefault="009A32DF" w:rsidP="0005044F">
      <w:pPr>
        <w:spacing w:before="120" w:after="120" w:line="240" w:lineRule="auto"/>
        <w:rPr>
          <w:rFonts w:ascii="Corbel" w:hAnsi="Corbel"/>
        </w:rPr>
      </w:pPr>
    </w:p>
    <w:p w:rsidR="008B3A6B" w:rsidRPr="00A42B52" w:rsidRDefault="00A42B52" w:rsidP="0005044F">
      <w:pPr>
        <w:spacing w:before="120" w:after="120" w:line="240" w:lineRule="auto"/>
        <w:rPr>
          <w:rFonts w:ascii="Corbel" w:hAnsi="Corbel"/>
          <w:b/>
        </w:rPr>
      </w:pPr>
      <w:r w:rsidRPr="00A42B52">
        <w:rPr>
          <w:rFonts w:ascii="Corbel" w:hAnsi="Corbel"/>
          <w:b/>
        </w:rPr>
        <w:t>REGULATIONS ON THE CONDUCT OF ASSESSMENT</w:t>
      </w:r>
    </w:p>
    <w:tbl>
      <w:tblPr>
        <w:tblStyle w:val="TableGrid"/>
        <w:tblW w:w="10632" w:type="dxa"/>
        <w:tblInd w:w="-856" w:type="dxa"/>
        <w:tblLook w:val="04A0"/>
      </w:tblPr>
      <w:tblGrid>
        <w:gridCol w:w="2552"/>
        <w:gridCol w:w="6804"/>
        <w:gridCol w:w="1276"/>
      </w:tblGrid>
      <w:tr w:rsidR="009A32DF" w:rsidRPr="00A42B52" w:rsidTr="009A32DF">
        <w:tc>
          <w:tcPr>
            <w:tcW w:w="2552" w:type="dxa"/>
            <w:shd w:val="clear" w:color="auto" w:fill="BFBFBF" w:themeFill="background1" w:themeFillShade="BF"/>
          </w:tcPr>
          <w:p w:rsidR="009A32DF" w:rsidRPr="00A42B52" w:rsidRDefault="009A32DF" w:rsidP="0005044F">
            <w:pPr>
              <w:spacing w:before="120" w:after="120"/>
              <w:rPr>
                <w:rFonts w:ascii="Corbel" w:hAnsi="Corbel"/>
                <w:b/>
              </w:rPr>
            </w:pPr>
            <w:r w:rsidRPr="00A42B52">
              <w:rPr>
                <w:rFonts w:ascii="Corbel" w:hAnsi="Corbel"/>
                <w:b/>
              </w:rPr>
              <w:t>Section number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:rsidR="009A32DF" w:rsidRPr="00A42B52" w:rsidRDefault="009A32DF" w:rsidP="0005044F">
            <w:pPr>
              <w:spacing w:before="120" w:after="120"/>
              <w:rPr>
                <w:rFonts w:ascii="Corbel" w:hAnsi="Corbel"/>
                <w:b/>
              </w:rPr>
            </w:pPr>
            <w:r w:rsidRPr="00A42B52">
              <w:rPr>
                <w:rFonts w:ascii="Corbel" w:hAnsi="Corbel"/>
                <w:b/>
              </w:rPr>
              <w:t>Relevant paragraph(s)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9A32DF" w:rsidRPr="00A42B52" w:rsidRDefault="009A32DF" w:rsidP="0005044F">
            <w:pPr>
              <w:spacing w:before="120" w:after="120"/>
              <w:jc w:val="center"/>
              <w:rPr>
                <w:rFonts w:ascii="Corbel" w:hAnsi="Corbel"/>
                <w:b/>
              </w:rPr>
            </w:pPr>
            <w:r w:rsidRPr="00A42B52">
              <w:rPr>
                <w:rFonts w:ascii="Corbel" w:hAnsi="Corbel"/>
                <w:b/>
              </w:rPr>
              <w:t>Page(s)</w:t>
            </w:r>
          </w:p>
        </w:tc>
      </w:tr>
      <w:tr w:rsidR="0017276B" w:rsidRPr="00A42B52" w:rsidTr="008B3A6B">
        <w:tc>
          <w:tcPr>
            <w:tcW w:w="2552" w:type="dxa"/>
          </w:tcPr>
          <w:p w:rsidR="002544F4" w:rsidRPr="00A42B52" w:rsidRDefault="00982D42" w:rsidP="0005044F">
            <w:pPr>
              <w:spacing w:before="120" w:after="120"/>
              <w:rPr>
                <w:rFonts w:ascii="Corbel" w:hAnsi="Corbel"/>
              </w:rPr>
            </w:pPr>
            <w:r w:rsidRPr="00A42B52">
              <w:rPr>
                <w:rFonts w:ascii="Corbel" w:hAnsi="Corbel"/>
              </w:rPr>
              <w:t>Section 5 (3g</w:t>
            </w:r>
            <w:r w:rsidR="002544F4" w:rsidRPr="00A42B52">
              <w:rPr>
                <w:rFonts w:ascii="Corbel" w:hAnsi="Corbel"/>
              </w:rPr>
              <w:t>)</w:t>
            </w:r>
          </w:p>
        </w:tc>
        <w:tc>
          <w:tcPr>
            <w:tcW w:w="6804" w:type="dxa"/>
          </w:tcPr>
          <w:p w:rsidR="00A42B52" w:rsidRPr="00A42B52" w:rsidRDefault="00A42B52" w:rsidP="0005044F">
            <w:pPr>
              <w:spacing w:before="120" w:after="120"/>
              <w:rPr>
                <w:rFonts w:ascii="Corbel" w:hAnsi="Corbel"/>
                <w:i/>
              </w:rPr>
            </w:pPr>
            <w:r w:rsidRPr="00A42B52">
              <w:rPr>
                <w:rFonts w:ascii="Corbel" w:hAnsi="Corbel"/>
                <w:i/>
              </w:rPr>
              <w:t>The word ‘cognate’ has been replaced with the word ‘comparable’.</w:t>
            </w:r>
          </w:p>
          <w:p w:rsidR="002544F4" w:rsidRPr="00A42B52" w:rsidRDefault="002544F4" w:rsidP="0005044F">
            <w:pPr>
              <w:spacing w:before="120" w:after="120"/>
              <w:rPr>
                <w:rFonts w:ascii="Corbel" w:hAnsi="Corbel"/>
                <w:b/>
              </w:rPr>
            </w:pPr>
            <w:r w:rsidRPr="00A42B52">
              <w:rPr>
                <w:rFonts w:ascii="Corbel" w:hAnsi="Corbel"/>
                <w:b/>
              </w:rPr>
              <w:t>Appointment of External Examiners</w:t>
            </w:r>
          </w:p>
          <w:p w:rsidR="0017276B" w:rsidRPr="00A42B52" w:rsidRDefault="002544F4" w:rsidP="0005044F">
            <w:pPr>
              <w:spacing w:before="120" w:after="120"/>
              <w:rPr>
                <w:rFonts w:ascii="Corbel" w:hAnsi="Corbel"/>
                <w:i/>
              </w:rPr>
            </w:pPr>
            <w:r w:rsidRPr="00A42B52">
              <w:rPr>
                <w:rFonts w:ascii="Corbel" w:hAnsi="Corbel"/>
              </w:rPr>
              <w:t xml:space="preserve"> </w:t>
            </w:r>
            <w:r w:rsidR="00FB75E8" w:rsidRPr="00A42B52">
              <w:rPr>
                <w:rFonts w:ascii="Corbel" w:hAnsi="Corbel"/>
              </w:rPr>
              <w:t xml:space="preserve">(3)(g) a member of staff of an institution for which a member of staff of the College is appointed to act as an External Examiner for </w:t>
            </w:r>
            <w:r w:rsidR="00FB75E8" w:rsidRPr="00A42B52">
              <w:rPr>
                <w:rFonts w:ascii="Corbel" w:hAnsi="Corbel"/>
                <w:b/>
              </w:rPr>
              <w:t>comparable</w:t>
            </w:r>
            <w:r w:rsidR="00FB75E8" w:rsidRPr="00A42B52">
              <w:rPr>
                <w:rFonts w:ascii="Corbel" w:hAnsi="Corbel"/>
              </w:rPr>
              <w:t xml:space="preserve"> programmes, unless the Chair of the College Board of Examiners’ Executive Committee is satisfied that such a situation is unavoidable;</w:t>
            </w:r>
          </w:p>
        </w:tc>
        <w:tc>
          <w:tcPr>
            <w:tcW w:w="1276" w:type="dxa"/>
          </w:tcPr>
          <w:p w:rsidR="00982D42" w:rsidRPr="00A42B52" w:rsidRDefault="00982D42" w:rsidP="0005044F">
            <w:pPr>
              <w:spacing w:before="120" w:after="120"/>
              <w:jc w:val="center"/>
              <w:rPr>
                <w:rFonts w:ascii="Corbel" w:hAnsi="Corbel"/>
              </w:rPr>
            </w:pPr>
            <w:r w:rsidRPr="00A42B52">
              <w:rPr>
                <w:rFonts w:ascii="Corbel" w:hAnsi="Corbel"/>
              </w:rPr>
              <w:t>5</w:t>
            </w:r>
          </w:p>
        </w:tc>
      </w:tr>
      <w:tr w:rsidR="00982D42" w:rsidRPr="00A42B52" w:rsidTr="008B3A6B">
        <w:tc>
          <w:tcPr>
            <w:tcW w:w="2552" w:type="dxa"/>
          </w:tcPr>
          <w:p w:rsidR="00982D42" w:rsidRPr="00A42B52" w:rsidRDefault="00982D42" w:rsidP="0005044F">
            <w:pPr>
              <w:spacing w:before="120" w:after="120"/>
              <w:rPr>
                <w:rFonts w:ascii="Corbel" w:hAnsi="Corbel"/>
              </w:rPr>
            </w:pPr>
            <w:r w:rsidRPr="00A42B52">
              <w:rPr>
                <w:rFonts w:ascii="Corbel" w:hAnsi="Corbel"/>
              </w:rPr>
              <w:t>Section 5 (5c iii)</w:t>
            </w:r>
          </w:p>
        </w:tc>
        <w:tc>
          <w:tcPr>
            <w:tcW w:w="6804" w:type="dxa"/>
          </w:tcPr>
          <w:p w:rsidR="00A42B52" w:rsidRPr="00A42B52" w:rsidRDefault="00982D42" w:rsidP="0005044F">
            <w:pPr>
              <w:spacing w:before="120" w:after="120"/>
              <w:rPr>
                <w:rFonts w:ascii="Corbel" w:hAnsi="Corbel"/>
                <w:i/>
              </w:rPr>
            </w:pPr>
            <w:r w:rsidRPr="00A42B52">
              <w:rPr>
                <w:rFonts w:ascii="Corbel" w:hAnsi="Corbel"/>
              </w:rPr>
              <w:t xml:space="preserve"> </w:t>
            </w:r>
            <w:r w:rsidR="00A42B52" w:rsidRPr="00A42B52">
              <w:rPr>
                <w:rFonts w:ascii="Corbel" w:hAnsi="Corbel"/>
                <w:i/>
              </w:rPr>
              <w:t>This paragraph has been amended to include the requirement for the External Examiner to have oversight of some coursework assessments.</w:t>
            </w:r>
          </w:p>
          <w:p w:rsidR="00982D42" w:rsidRPr="00A42B52" w:rsidRDefault="00982D42" w:rsidP="0005044F">
            <w:pPr>
              <w:spacing w:before="120" w:after="120"/>
              <w:rPr>
                <w:rFonts w:ascii="Corbel" w:hAnsi="Corbel"/>
                <w:b/>
              </w:rPr>
            </w:pPr>
            <w:r w:rsidRPr="00A42B52">
              <w:rPr>
                <w:rFonts w:ascii="Corbel" w:hAnsi="Corbel"/>
              </w:rPr>
              <w:t>iii) Approving draft examination papers</w:t>
            </w:r>
            <w:r w:rsidRPr="00A42B52">
              <w:rPr>
                <w:rFonts w:ascii="Corbel" w:hAnsi="Corbel"/>
                <w:b/>
              </w:rPr>
              <w:t xml:space="preserve"> and new or amended </w:t>
            </w:r>
            <w:r w:rsidRPr="00A42B52">
              <w:rPr>
                <w:rFonts w:ascii="Corbel" w:hAnsi="Corbel"/>
                <w:b/>
              </w:rPr>
              <w:lastRenderedPageBreak/>
              <w:t>summative coursework assessments which constitute more than 20% of the final grade for a course unit. In cases where students develop their own titles, the External Examiner should be sent the assessment guidelines.</w:t>
            </w:r>
          </w:p>
        </w:tc>
        <w:tc>
          <w:tcPr>
            <w:tcW w:w="1276" w:type="dxa"/>
          </w:tcPr>
          <w:p w:rsidR="00982D42" w:rsidRPr="00A42B52" w:rsidRDefault="00982D42" w:rsidP="0005044F">
            <w:pPr>
              <w:spacing w:before="120" w:after="120"/>
              <w:jc w:val="center"/>
              <w:rPr>
                <w:rFonts w:ascii="Corbel" w:hAnsi="Corbel"/>
              </w:rPr>
            </w:pPr>
            <w:r w:rsidRPr="00A42B52">
              <w:rPr>
                <w:rFonts w:ascii="Corbel" w:hAnsi="Corbel"/>
              </w:rPr>
              <w:lastRenderedPageBreak/>
              <w:t>6</w:t>
            </w:r>
          </w:p>
        </w:tc>
      </w:tr>
      <w:tr w:rsidR="00982D42" w:rsidRPr="00A42B52" w:rsidTr="008B3A6B">
        <w:tc>
          <w:tcPr>
            <w:tcW w:w="2552" w:type="dxa"/>
          </w:tcPr>
          <w:p w:rsidR="00982D42" w:rsidRPr="00A42B52" w:rsidRDefault="00982D42" w:rsidP="0005044F">
            <w:pPr>
              <w:spacing w:before="120" w:after="120"/>
              <w:rPr>
                <w:rFonts w:ascii="Corbel" w:hAnsi="Corbel"/>
              </w:rPr>
            </w:pPr>
            <w:r w:rsidRPr="00A42B52">
              <w:rPr>
                <w:rFonts w:ascii="Corbel" w:hAnsi="Corbel"/>
              </w:rPr>
              <w:lastRenderedPageBreak/>
              <w:t>Section 12 (2 and 3)</w:t>
            </w:r>
          </w:p>
        </w:tc>
        <w:tc>
          <w:tcPr>
            <w:tcW w:w="6804" w:type="dxa"/>
          </w:tcPr>
          <w:p w:rsidR="00A42B52" w:rsidRPr="00A42B52" w:rsidRDefault="00A42B52" w:rsidP="0005044F">
            <w:pPr>
              <w:spacing w:before="120" w:after="120"/>
              <w:rPr>
                <w:rFonts w:ascii="Corbel" w:hAnsi="Corbel"/>
                <w:i/>
              </w:rPr>
            </w:pPr>
            <w:r w:rsidRPr="00A42B52">
              <w:rPr>
                <w:rFonts w:ascii="Corbel" w:hAnsi="Corbel"/>
                <w:i/>
              </w:rPr>
              <w:t xml:space="preserve">These amendments formalise the requirement in the </w:t>
            </w:r>
            <w:r w:rsidRPr="00A42B52">
              <w:rPr>
                <w:rFonts w:ascii="Corbel" w:hAnsi="Corbel"/>
                <w:i/>
                <w:u w:val="single"/>
              </w:rPr>
              <w:t>Guidelines for Examiners and Assessors</w:t>
            </w:r>
            <w:r w:rsidRPr="00A42B52">
              <w:rPr>
                <w:rFonts w:ascii="Corbel" w:hAnsi="Corbel"/>
                <w:i/>
              </w:rPr>
              <w:t xml:space="preserve"> in relation to the moderation of failing work.</w:t>
            </w:r>
          </w:p>
          <w:p w:rsidR="00982D42" w:rsidRPr="00A42B52" w:rsidRDefault="00982D42" w:rsidP="0005044F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rFonts w:ascii="Corbel" w:hAnsi="Corbel"/>
              </w:rPr>
            </w:pPr>
            <w:r w:rsidRPr="00A42B52">
              <w:rPr>
                <w:rFonts w:ascii="Corbel" w:hAnsi="Corbel"/>
              </w:rPr>
              <w:t>Work submitted for assessment shall be marked using one of the following methods:</w:t>
            </w:r>
          </w:p>
          <w:p w:rsidR="00982D42" w:rsidRPr="00A42B52" w:rsidRDefault="00982D42" w:rsidP="0005044F">
            <w:pPr>
              <w:spacing w:before="120" w:after="120"/>
              <w:ind w:left="1440" w:hanging="720"/>
              <w:rPr>
                <w:rFonts w:ascii="Corbel" w:hAnsi="Corbel"/>
              </w:rPr>
            </w:pPr>
            <w:r w:rsidRPr="00A42B52">
              <w:rPr>
                <w:rFonts w:ascii="Corbel" w:hAnsi="Corbel"/>
              </w:rPr>
              <w:t xml:space="preserve">(a) </w:t>
            </w:r>
            <w:r w:rsidRPr="00A42B52">
              <w:rPr>
                <w:rFonts w:ascii="Corbel" w:hAnsi="Corbel"/>
              </w:rPr>
              <w:tab/>
              <w:t>single marking, where the work is marked by one Internal Examiner;</w:t>
            </w:r>
          </w:p>
          <w:p w:rsidR="00982D42" w:rsidRPr="00A42B52" w:rsidRDefault="00982D42" w:rsidP="0005044F">
            <w:pPr>
              <w:spacing w:before="120" w:after="120"/>
              <w:ind w:left="1440" w:hanging="720"/>
              <w:rPr>
                <w:rFonts w:ascii="Corbel" w:hAnsi="Corbel"/>
              </w:rPr>
            </w:pPr>
            <w:r w:rsidRPr="00A42B52">
              <w:rPr>
                <w:rFonts w:ascii="Corbel" w:hAnsi="Corbel"/>
              </w:rPr>
              <w:t xml:space="preserve">(b) </w:t>
            </w:r>
            <w:r w:rsidRPr="00A42B52">
              <w:rPr>
                <w:rFonts w:ascii="Corbel" w:hAnsi="Corbel"/>
              </w:rPr>
              <w:tab/>
              <w:t xml:space="preserve">single marking with moderation, where the work is marked in accordance with (2)(a) above, except a second Internal Examiner also marks a sample of the work, which shall include </w:t>
            </w:r>
            <w:r w:rsidRPr="00A42B52">
              <w:rPr>
                <w:rFonts w:ascii="Corbel" w:hAnsi="Corbel"/>
                <w:b/>
              </w:rPr>
              <w:t>a representative sample from all degree classifications and failed work</w:t>
            </w:r>
            <w:r w:rsidRPr="00A42B52">
              <w:rPr>
                <w:rFonts w:ascii="Corbel" w:hAnsi="Corbel"/>
              </w:rPr>
              <w:t xml:space="preserve"> in order to ensure consistency with the approved marking scheme;</w:t>
            </w:r>
          </w:p>
          <w:p w:rsidR="00982D42" w:rsidRPr="00A42B52" w:rsidRDefault="00982D42" w:rsidP="0005044F">
            <w:pPr>
              <w:spacing w:before="120" w:after="120"/>
              <w:ind w:left="1440" w:hanging="720"/>
              <w:rPr>
                <w:rFonts w:ascii="Corbel" w:hAnsi="Corbel"/>
              </w:rPr>
            </w:pPr>
            <w:r w:rsidRPr="00A42B52">
              <w:rPr>
                <w:rFonts w:ascii="Corbel" w:hAnsi="Corbel"/>
              </w:rPr>
              <w:t xml:space="preserve">(c) </w:t>
            </w:r>
            <w:r w:rsidRPr="00A42B52">
              <w:rPr>
                <w:rFonts w:ascii="Corbel" w:hAnsi="Corbel"/>
              </w:rPr>
              <w:tab/>
              <w:t>double marking, where the work is marked by two Internal Examiners, or by an Internal Examiner and an Assessor, who shall together agree a single mark for each piece of work;</w:t>
            </w:r>
          </w:p>
          <w:p w:rsidR="00982D42" w:rsidRPr="00A42B52" w:rsidRDefault="00982D42" w:rsidP="0005044F">
            <w:pPr>
              <w:spacing w:before="120" w:after="120"/>
              <w:ind w:left="1440" w:hanging="720"/>
              <w:rPr>
                <w:rFonts w:ascii="Corbel" w:hAnsi="Corbel"/>
              </w:rPr>
            </w:pPr>
            <w:r w:rsidRPr="00A42B52">
              <w:rPr>
                <w:rFonts w:ascii="Corbel" w:hAnsi="Corbel"/>
              </w:rPr>
              <w:t xml:space="preserve">(d) </w:t>
            </w:r>
            <w:r w:rsidRPr="00A42B52">
              <w:rPr>
                <w:rFonts w:ascii="Corbel" w:hAnsi="Corbel"/>
              </w:rPr>
              <w:tab/>
            </w:r>
            <w:proofErr w:type="gramStart"/>
            <w:r w:rsidRPr="00A42B52">
              <w:rPr>
                <w:rFonts w:ascii="Corbel" w:hAnsi="Corbel"/>
              </w:rPr>
              <w:t>blind</w:t>
            </w:r>
            <w:proofErr w:type="gramEnd"/>
            <w:r w:rsidRPr="00A42B52">
              <w:rPr>
                <w:rFonts w:ascii="Corbel" w:hAnsi="Corbel"/>
              </w:rPr>
              <w:t xml:space="preserve"> double marking, where the work is marked in accordance with (2)c) above, except the second marker shall not have prior sight of the comments of the first marker.</w:t>
            </w:r>
          </w:p>
          <w:p w:rsidR="00982D42" w:rsidRPr="00A42B52" w:rsidRDefault="00982D42" w:rsidP="0005044F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rFonts w:ascii="Corbel" w:hAnsi="Corbel"/>
              </w:rPr>
            </w:pPr>
            <w:r w:rsidRPr="00A42B52">
              <w:rPr>
                <w:rFonts w:ascii="Corbel" w:hAnsi="Corbel"/>
              </w:rPr>
              <w:t xml:space="preserve">Any piece of work which contributes towards a candidate’s award classification shall normally be assessed using one of the methods outlined in Section 12 (2) (b-d) of these regulations), except in the case of in-course assessments the form or timing of which renders this impractical. </w:t>
            </w:r>
            <w:r w:rsidRPr="007650CE">
              <w:rPr>
                <w:rFonts w:ascii="Corbel" w:hAnsi="Corbel"/>
                <w:b/>
              </w:rPr>
              <w:t>Where a student has failed a course unit, substantial pieces (i.e., those which contribute 20% or more to the course unit) of the student’s work in that unit must be double marked.  In exceptional circumstances the College Board of Examiners’ Executive Committee may suspend this requirement.</w:t>
            </w:r>
          </w:p>
        </w:tc>
        <w:tc>
          <w:tcPr>
            <w:tcW w:w="1276" w:type="dxa"/>
          </w:tcPr>
          <w:p w:rsidR="00982D42" w:rsidRPr="00A42B52" w:rsidRDefault="00982D42" w:rsidP="0005044F">
            <w:pPr>
              <w:spacing w:before="120" w:after="120"/>
              <w:jc w:val="center"/>
              <w:rPr>
                <w:rFonts w:ascii="Corbel" w:hAnsi="Corbel"/>
              </w:rPr>
            </w:pPr>
            <w:r w:rsidRPr="00A42B52">
              <w:rPr>
                <w:rFonts w:ascii="Corbel" w:hAnsi="Corbel"/>
              </w:rPr>
              <w:t>11</w:t>
            </w:r>
          </w:p>
        </w:tc>
      </w:tr>
    </w:tbl>
    <w:p w:rsidR="00DE7F06" w:rsidRPr="00A42B52" w:rsidRDefault="00DE7F06" w:rsidP="0005044F">
      <w:pPr>
        <w:spacing w:before="120" w:after="120" w:line="240" w:lineRule="auto"/>
        <w:rPr>
          <w:rFonts w:ascii="Corbel" w:hAnsi="Corbel"/>
        </w:rPr>
      </w:pPr>
    </w:p>
    <w:p w:rsidR="001E20F1" w:rsidRPr="00A42B52" w:rsidRDefault="001E20F1">
      <w:pPr>
        <w:rPr>
          <w:rFonts w:ascii="Corbel" w:hAnsi="Corbel"/>
        </w:rPr>
      </w:pPr>
    </w:p>
    <w:p w:rsidR="002A2D69" w:rsidRPr="00A42B52" w:rsidRDefault="002A2D69">
      <w:pPr>
        <w:rPr>
          <w:rFonts w:ascii="Corbel" w:hAnsi="Corbel"/>
        </w:rPr>
      </w:pPr>
    </w:p>
    <w:sectPr w:rsidR="002A2D69" w:rsidRPr="00A42B52" w:rsidSect="00344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F06" w:rsidRDefault="00DE7F06" w:rsidP="00DE7F06">
      <w:pPr>
        <w:spacing w:after="0" w:line="240" w:lineRule="auto"/>
      </w:pPr>
      <w:r>
        <w:separator/>
      </w:r>
    </w:p>
  </w:endnote>
  <w:endnote w:type="continuationSeparator" w:id="0">
    <w:p w:rsidR="00DE7F06" w:rsidRDefault="00DE7F06" w:rsidP="00DE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B77" w:rsidRDefault="000C1B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D42" w:rsidRPr="000C1B77" w:rsidRDefault="00982D42">
    <w:pPr>
      <w:pStyle w:val="Footer"/>
      <w:jc w:val="right"/>
      <w:rPr>
        <w:rFonts w:ascii="Corbel" w:hAnsi="Corbel"/>
        <w:b/>
      </w:rPr>
    </w:pPr>
    <w:bookmarkStart w:id="0" w:name="_GoBack"/>
    <w:r w:rsidRPr="000C1B77">
      <w:rPr>
        <w:rFonts w:ascii="Corbel" w:hAnsi="Corbel"/>
        <w:b/>
      </w:rPr>
      <w:t>Summary of changes – other regulations 2016/17</w:t>
    </w:r>
  </w:p>
  <w:p w:rsidR="00DE7F06" w:rsidRPr="000C1B77" w:rsidRDefault="00344D66">
    <w:pPr>
      <w:pStyle w:val="Footer"/>
      <w:jc w:val="right"/>
      <w:rPr>
        <w:rFonts w:ascii="Corbel" w:hAnsi="Corbel"/>
        <w:b/>
      </w:rPr>
    </w:pPr>
    <w:sdt>
      <w:sdtPr>
        <w:rPr>
          <w:rFonts w:ascii="Corbel" w:hAnsi="Corbel"/>
          <w:b/>
        </w:rPr>
        <w:id w:val="-5522361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C1B77">
          <w:rPr>
            <w:rFonts w:ascii="Corbel" w:hAnsi="Corbel"/>
            <w:b/>
          </w:rPr>
          <w:fldChar w:fldCharType="begin"/>
        </w:r>
        <w:r w:rsidR="00DE7F06" w:rsidRPr="000C1B77">
          <w:rPr>
            <w:rFonts w:ascii="Corbel" w:hAnsi="Corbel"/>
            <w:b/>
          </w:rPr>
          <w:instrText xml:space="preserve"> PAGE   \* MERGEFORMAT </w:instrText>
        </w:r>
        <w:r w:rsidRPr="000C1B77">
          <w:rPr>
            <w:rFonts w:ascii="Corbel" w:hAnsi="Corbel"/>
            <w:b/>
          </w:rPr>
          <w:fldChar w:fldCharType="separate"/>
        </w:r>
        <w:r w:rsidR="007650CE">
          <w:rPr>
            <w:rFonts w:ascii="Corbel" w:hAnsi="Corbel"/>
            <w:b/>
            <w:noProof/>
          </w:rPr>
          <w:t>2</w:t>
        </w:r>
        <w:r w:rsidRPr="000C1B77">
          <w:rPr>
            <w:rFonts w:ascii="Corbel" w:hAnsi="Corbel"/>
            <w:b/>
            <w:noProof/>
          </w:rPr>
          <w:fldChar w:fldCharType="end"/>
        </w:r>
      </w:sdtContent>
    </w:sdt>
  </w:p>
  <w:bookmarkEnd w:id="0"/>
  <w:p w:rsidR="00DE7F06" w:rsidRDefault="00DE7F0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B77" w:rsidRDefault="000C1B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F06" w:rsidRDefault="00DE7F06" w:rsidP="00DE7F06">
      <w:pPr>
        <w:spacing w:after="0" w:line="240" w:lineRule="auto"/>
      </w:pPr>
      <w:r>
        <w:separator/>
      </w:r>
    </w:p>
  </w:footnote>
  <w:footnote w:type="continuationSeparator" w:id="0">
    <w:p w:rsidR="00DE7F06" w:rsidRDefault="00DE7F06" w:rsidP="00DE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B77" w:rsidRDefault="000C1B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B77" w:rsidRDefault="000C1B7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B77" w:rsidRDefault="000C1B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11CF0"/>
    <w:multiLevelType w:val="hybridMultilevel"/>
    <w:tmpl w:val="B8BA5494"/>
    <w:lvl w:ilvl="0" w:tplc="ED1C00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8E4057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51459"/>
    <w:multiLevelType w:val="hybridMultilevel"/>
    <w:tmpl w:val="E5801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D5EB9"/>
    <w:multiLevelType w:val="hybridMultilevel"/>
    <w:tmpl w:val="411A1352"/>
    <w:lvl w:ilvl="0" w:tplc="C4CAED6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80D77"/>
    <w:multiLevelType w:val="hybridMultilevel"/>
    <w:tmpl w:val="9560FE3E"/>
    <w:lvl w:ilvl="0" w:tplc="145674CA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55244"/>
    <w:multiLevelType w:val="hybridMultilevel"/>
    <w:tmpl w:val="EB84A8BC"/>
    <w:lvl w:ilvl="0" w:tplc="CBCAC0A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69D"/>
    <w:rsid w:val="0005044F"/>
    <w:rsid w:val="00082BDF"/>
    <w:rsid w:val="000C1B77"/>
    <w:rsid w:val="001624AC"/>
    <w:rsid w:val="0017276B"/>
    <w:rsid w:val="001E20F1"/>
    <w:rsid w:val="002252F6"/>
    <w:rsid w:val="002544F4"/>
    <w:rsid w:val="002A2D69"/>
    <w:rsid w:val="002C5107"/>
    <w:rsid w:val="00344D66"/>
    <w:rsid w:val="00495F1C"/>
    <w:rsid w:val="0052589A"/>
    <w:rsid w:val="0058214A"/>
    <w:rsid w:val="00652598"/>
    <w:rsid w:val="006F4C5F"/>
    <w:rsid w:val="007617F5"/>
    <w:rsid w:val="007650CE"/>
    <w:rsid w:val="008B3A6B"/>
    <w:rsid w:val="008E4879"/>
    <w:rsid w:val="00982D42"/>
    <w:rsid w:val="009A32DF"/>
    <w:rsid w:val="009F1F80"/>
    <w:rsid w:val="00A42B52"/>
    <w:rsid w:val="00A86579"/>
    <w:rsid w:val="00DE6845"/>
    <w:rsid w:val="00DE7F06"/>
    <w:rsid w:val="00EE29F7"/>
    <w:rsid w:val="00FA0A70"/>
    <w:rsid w:val="00FB569D"/>
    <w:rsid w:val="00FB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3A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F06"/>
  </w:style>
  <w:style w:type="paragraph" w:styleId="Footer">
    <w:name w:val="footer"/>
    <w:basedOn w:val="Normal"/>
    <w:link w:val="FooterChar"/>
    <w:uiPriority w:val="99"/>
    <w:unhideWhenUsed/>
    <w:rsid w:val="00DE7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F06"/>
  </w:style>
  <w:style w:type="paragraph" w:customStyle="1" w:styleId="Default">
    <w:name w:val="Default"/>
    <w:rsid w:val="002252F6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Munton, Clare</dc:creator>
  <cp:keywords/>
  <dc:description/>
  <cp:lastModifiedBy>Marina Beck</cp:lastModifiedBy>
  <cp:revision>12</cp:revision>
  <dcterms:created xsi:type="dcterms:W3CDTF">2016-06-06T08:23:00Z</dcterms:created>
  <dcterms:modified xsi:type="dcterms:W3CDTF">2016-07-10T20:07:00Z</dcterms:modified>
</cp:coreProperties>
</file>