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48E9" w:rsidR="00E01418" w:rsidP="00B148E9" w:rsidRDefault="00E01418">
      <w:pPr>
        <w:spacing w:before="120" w:after="120" w:line="240" w:lineRule="auto"/>
        <w:jc w:val="center"/>
        <w:rPr>
          <w:rFonts w:ascii="Corbel" w:hAnsi="Corbel"/>
          <w:b/>
        </w:rPr>
      </w:pPr>
      <w:r w:rsidRPr="00B148E9">
        <w:rPr>
          <w:rFonts w:ascii="Corbel" w:hAnsi="Corbel"/>
          <w:b/>
        </w:rPr>
        <w:t>POSTGRADUATE TAUGHT REGULATIONS</w:t>
      </w:r>
    </w:p>
    <w:p w:rsidRPr="00B148E9" w:rsidR="007C1BC3" w:rsidP="00B148E9" w:rsidRDefault="00E01418">
      <w:pPr>
        <w:spacing w:before="120" w:after="120" w:line="240" w:lineRule="auto"/>
        <w:jc w:val="center"/>
        <w:rPr>
          <w:rFonts w:ascii="Corbel" w:hAnsi="Corbel"/>
          <w:b/>
        </w:rPr>
      </w:pPr>
      <w:r w:rsidRPr="00B148E9">
        <w:rPr>
          <w:rFonts w:ascii="Corbel" w:hAnsi="Corbel"/>
          <w:b/>
        </w:rPr>
        <w:t>SUMMARY OF REGULATORY AMENDMENTS AND/OR ADDITIONS FOR ACADEMIC YEAR 2016/17</w:t>
      </w:r>
      <w:r w:rsidRPr="00B148E9">
        <w:rPr>
          <w:rFonts w:ascii="Corbel" w:hAnsi="Corbel"/>
          <w:b/>
          <w:i/>
        </w:rPr>
        <w:t xml:space="preserve"> </w:t>
      </w:r>
    </w:p>
    <w:p w:rsidRPr="00B148E9" w:rsidR="00A74903" w:rsidP="00B148E9" w:rsidRDefault="00A74903">
      <w:pPr>
        <w:spacing w:before="120" w:after="120" w:line="240" w:lineRule="auto"/>
        <w:rPr>
          <w:rFonts w:ascii="Corbel" w:hAnsi="Corbel"/>
          <w:b/>
          <w:i/>
        </w:rPr>
      </w:pPr>
      <w:r w:rsidRPr="00B148E9">
        <w:rPr>
          <w:rFonts w:ascii="Corbel" w:hAnsi="Corbel"/>
          <w:b/>
          <w:i/>
        </w:rPr>
        <w:t xml:space="preserve">The wording in bold reflects the </w:t>
      </w:r>
      <w:r w:rsidRPr="00B148E9" w:rsidR="00E01418">
        <w:rPr>
          <w:rFonts w:ascii="Corbel" w:hAnsi="Corbel"/>
          <w:b/>
          <w:i/>
        </w:rPr>
        <w:t>amended</w:t>
      </w:r>
      <w:r w:rsidRPr="00B148E9">
        <w:rPr>
          <w:rFonts w:ascii="Corbel" w:hAnsi="Corbel"/>
          <w:b/>
          <w:i/>
        </w:rPr>
        <w:t xml:space="preserve"> wording</w:t>
      </w:r>
    </w:p>
    <w:tbl>
      <w:tblPr>
        <w:tblStyle w:val="TableGrid"/>
        <w:tblW w:w="10632" w:type="dxa"/>
        <w:tblInd w:w="-856" w:type="dxa"/>
        <w:tblLook w:val="04A0" w:firstRow="1" w:lastRow="0" w:firstColumn="1" w:lastColumn="0" w:noHBand="0" w:noVBand="1"/>
      </w:tblPr>
      <w:tblGrid>
        <w:gridCol w:w="2552"/>
        <w:gridCol w:w="6804"/>
        <w:gridCol w:w="1276"/>
      </w:tblGrid>
      <w:tr w:rsidRPr="00B148E9" w:rsidR="007C1BC3" w:rsidTr="00E01418">
        <w:tc>
          <w:tcPr>
            <w:tcW w:w="2552" w:type="dxa"/>
            <w:shd w:val="clear" w:color="auto" w:fill="BFBFBF" w:themeFill="background1" w:themeFillShade="BF"/>
          </w:tcPr>
          <w:p w:rsidRPr="00B148E9" w:rsidR="007C1BC3" w:rsidP="00B148E9" w:rsidRDefault="007C1BC3">
            <w:pPr>
              <w:spacing w:before="120" w:after="120"/>
              <w:rPr>
                <w:rFonts w:ascii="Corbel" w:hAnsi="Corbel"/>
                <w:b/>
              </w:rPr>
            </w:pPr>
            <w:r w:rsidRPr="00B148E9">
              <w:rPr>
                <w:rFonts w:ascii="Corbel" w:hAnsi="Corbel"/>
                <w:b/>
              </w:rPr>
              <w:t>Section number</w:t>
            </w:r>
          </w:p>
        </w:tc>
        <w:tc>
          <w:tcPr>
            <w:tcW w:w="6804" w:type="dxa"/>
            <w:shd w:val="clear" w:color="auto" w:fill="BFBFBF" w:themeFill="background1" w:themeFillShade="BF"/>
          </w:tcPr>
          <w:p w:rsidRPr="00B148E9" w:rsidR="007C1BC3" w:rsidP="00B148E9" w:rsidRDefault="00E01418">
            <w:pPr>
              <w:spacing w:before="120" w:after="120"/>
              <w:rPr>
                <w:rFonts w:ascii="Corbel" w:hAnsi="Corbel"/>
                <w:b/>
              </w:rPr>
            </w:pPr>
            <w:r w:rsidRPr="00B148E9">
              <w:rPr>
                <w:rFonts w:ascii="Corbel" w:hAnsi="Corbel"/>
                <w:b/>
              </w:rPr>
              <w:t>Relevant paragraph</w:t>
            </w:r>
            <w:r w:rsidRPr="00B148E9" w:rsidR="00F96092">
              <w:rPr>
                <w:rFonts w:ascii="Corbel" w:hAnsi="Corbel"/>
                <w:b/>
              </w:rPr>
              <w:t>(</w:t>
            </w:r>
            <w:r w:rsidRPr="00B148E9">
              <w:rPr>
                <w:rFonts w:ascii="Corbel" w:hAnsi="Corbel"/>
                <w:b/>
              </w:rPr>
              <w:t>s</w:t>
            </w:r>
            <w:r w:rsidRPr="00B148E9" w:rsidR="00F96092">
              <w:rPr>
                <w:rFonts w:ascii="Corbel" w:hAnsi="Corbel"/>
                <w:b/>
              </w:rPr>
              <w:t>)</w:t>
            </w:r>
          </w:p>
        </w:tc>
        <w:tc>
          <w:tcPr>
            <w:tcW w:w="1276" w:type="dxa"/>
            <w:shd w:val="clear" w:color="auto" w:fill="BFBFBF" w:themeFill="background1" w:themeFillShade="BF"/>
          </w:tcPr>
          <w:p w:rsidRPr="00B148E9" w:rsidR="007C1BC3" w:rsidP="00B148E9" w:rsidRDefault="007C1BC3">
            <w:pPr>
              <w:spacing w:before="120" w:after="120"/>
              <w:jc w:val="center"/>
              <w:rPr>
                <w:rFonts w:ascii="Corbel" w:hAnsi="Corbel"/>
                <w:b/>
              </w:rPr>
            </w:pPr>
            <w:r w:rsidRPr="00B148E9">
              <w:rPr>
                <w:rFonts w:ascii="Corbel" w:hAnsi="Corbel"/>
                <w:b/>
              </w:rPr>
              <w:t>Page</w:t>
            </w:r>
            <w:r w:rsidRPr="00B148E9" w:rsidR="00DF1E7D">
              <w:rPr>
                <w:rFonts w:ascii="Corbel" w:hAnsi="Corbel"/>
                <w:b/>
              </w:rPr>
              <w:t xml:space="preserve"> (s)</w:t>
            </w:r>
          </w:p>
        </w:tc>
      </w:tr>
      <w:tr w:rsidRPr="00B148E9" w:rsidR="005D2B00" w:rsidTr="001B7EEF">
        <w:tc>
          <w:tcPr>
            <w:tcW w:w="2552" w:type="dxa"/>
          </w:tcPr>
          <w:p w:rsidRPr="00B148E9" w:rsidR="005D2B00" w:rsidP="00B148E9" w:rsidRDefault="009538C5">
            <w:pPr>
              <w:spacing w:before="120" w:after="120"/>
              <w:rPr>
                <w:rFonts w:ascii="Corbel" w:hAnsi="Corbel"/>
              </w:rPr>
            </w:pPr>
            <w:r w:rsidRPr="00B148E9">
              <w:rPr>
                <w:rFonts w:ascii="Corbel" w:hAnsi="Corbel"/>
              </w:rPr>
              <w:t>Section 6 (2)</w:t>
            </w:r>
          </w:p>
        </w:tc>
        <w:tc>
          <w:tcPr>
            <w:tcW w:w="6804" w:type="dxa"/>
          </w:tcPr>
          <w:p w:rsidRPr="006F4C81" w:rsidR="00696405" w:rsidP="00B148E9" w:rsidRDefault="00696405">
            <w:pPr>
              <w:spacing w:before="120" w:after="120"/>
              <w:rPr>
                <w:rFonts w:ascii="Corbel" w:hAnsi="Corbel"/>
                <w:i/>
              </w:rPr>
            </w:pPr>
            <w:r w:rsidRPr="006F4C81">
              <w:rPr>
                <w:rFonts w:ascii="Corbel" w:hAnsi="Corbel"/>
                <w:i/>
              </w:rPr>
              <w:t>The paragraph in bold has been added to Section 6 (2) to clarify that the dissertation/  research component of a Masters programme must be passed to qualify for the award.</w:t>
            </w:r>
          </w:p>
          <w:p w:rsidRPr="00B148E9" w:rsidR="00696405" w:rsidP="00B148E9" w:rsidRDefault="00696405">
            <w:pPr>
              <w:spacing w:before="120" w:after="120"/>
              <w:rPr>
                <w:rFonts w:ascii="Corbel" w:hAnsi="Corbel"/>
                <w:b/>
              </w:rPr>
            </w:pPr>
            <w:r w:rsidRPr="00B148E9">
              <w:rPr>
                <w:rFonts w:ascii="Corbel" w:hAnsi="Corbel"/>
                <w:b/>
              </w:rPr>
              <w:t xml:space="preserve"> </w:t>
            </w:r>
            <w:r w:rsidRPr="00B148E9" w:rsidR="00B148E9">
              <w:rPr>
                <w:rFonts w:ascii="Corbel" w:hAnsi="Corbel"/>
                <w:b/>
              </w:rPr>
              <w:t>Structure of programmes</w:t>
            </w:r>
          </w:p>
          <w:p w:rsidRPr="00B148E9" w:rsidR="003370DD" w:rsidP="00B148E9" w:rsidRDefault="003370DD">
            <w:pPr>
              <w:pStyle w:val="ListParagraph"/>
              <w:numPr>
                <w:ilvl w:val="0"/>
                <w:numId w:val="15"/>
              </w:numPr>
              <w:spacing w:before="120" w:after="120"/>
              <w:ind w:left="357" w:hanging="357"/>
              <w:rPr>
                <w:rFonts w:ascii="Corbel" w:hAnsi="Corbel"/>
              </w:rPr>
            </w:pPr>
            <w:r w:rsidRPr="00B148E9">
              <w:rPr>
                <w:rFonts w:ascii="Corbel" w:hAnsi="Corbel"/>
              </w:rPr>
              <w:t>The programme specification may  place restrictions on the range of taught courses available and will also stipulate whether a Fail outcome in these courses can be condoned for the purposes of progression or qualification for the award as follows:</w:t>
            </w:r>
          </w:p>
          <w:p w:rsidRPr="00B148E9" w:rsidR="003370DD" w:rsidP="00B148E9" w:rsidRDefault="003370DD">
            <w:pPr>
              <w:pStyle w:val="ListParagraph"/>
              <w:numPr>
                <w:ilvl w:val="0"/>
                <w:numId w:val="10"/>
              </w:numPr>
              <w:spacing w:before="120" w:after="120"/>
              <w:ind w:left="714" w:hanging="357"/>
              <w:contextualSpacing w:val="0"/>
              <w:rPr>
                <w:rFonts w:ascii="Corbel" w:hAnsi="Corbel"/>
              </w:rPr>
            </w:pPr>
            <w:r w:rsidRPr="00B148E9">
              <w:rPr>
                <w:rFonts w:ascii="Corbel" w:hAnsi="Corbel"/>
              </w:rPr>
              <w:t xml:space="preserve">mandatory courses which students must take and which are either designated as </w:t>
            </w:r>
          </w:p>
          <w:p w:rsidRPr="00B148E9" w:rsidR="003370DD" w:rsidP="00B148E9" w:rsidRDefault="003370DD">
            <w:pPr>
              <w:pStyle w:val="ListParagraph"/>
              <w:numPr>
                <w:ilvl w:val="0"/>
                <w:numId w:val="11"/>
              </w:numPr>
              <w:spacing w:before="120" w:after="120"/>
              <w:ind w:left="1440" w:hanging="720"/>
              <w:contextualSpacing w:val="0"/>
              <w:rPr>
                <w:rFonts w:ascii="Corbel" w:hAnsi="Corbel"/>
              </w:rPr>
            </w:pPr>
            <w:r w:rsidRPr="00B148E9">
              <w:rPr>
                <w:rFonts w:ascii="Corbel" w:hAnsi="Corbel"/>
              </w:rPr>
              <w:t>non-condonable, that is,  which students must pass,  or from which they must be granted exemption in order to progress onto the next stage or to qualify for the award;</w:t>
            </w:r>
          </w:p>
          <w:p w:rsidRPr="00B148E9" w:rsidR="003370DD" w:rsidP="00B148E9" w:rsidRDefault="003370DD">
            <w:pPr>
              <w:pStyle w:val="ListParagraph"/>
              <w:numPr>
                <w:ilvl w:val="0"/>
                <w:numId w:val="11"/>
              </w:numPr>
              <w:spacing w:before="120" w:after="120"/>
              <w:ind w:left="1440" w:hanging="720"/>
              <w:contextualSpacing w:val="0"/>
              <w:rPr>
                <w:rFonts w:ascii="Corbel" w:hAnsi="Corbel"/>
              </w:rPr>
            </w:pPr>
            <w:r w:rsidRPr="00B148E9">
              <w:rPr>
                <w:rFonts w:ascii="Corbel" w:hAnsi="Corbel"/>
              </w:rPr>
              <w:t>condonable, that is, which students must take but do not have to pass in order to progress onto the next stage or to qualify for the award;</w:t>
            </w:r>
          </w:p>
          <w:p w:rsidRPr="00B148E9" w:rsidR="003370DD" w:rsidP="00B148E9" w:rsidRDefault="003370DD">
            <w:pPr>
              <w:pStyle w:val="ListParagraph"/>
              <w:numPr>
                <w:ilvl w:val="0"/>
                <w:numId w:val="10"/>
              </w:numPr>
              <w:spacing w:before="120" w:after="120"/>
              <w:ind w:left="714" w:hanging="357"/>
              <w:contextualSpacing w:val="0"/>
              <w:rPr>
                <w:rFonts w:ascii="Corbel" w:hAnsi="Corbel"/>
              </w:rPr>
            </w:pPr>
            <w:proofErr w:type="gramStart"/>
            <w:r w:rsidRPr="00B148E9">
              <w:rPr>
                <w:rFonts w:ascii="Corbel" w:hAnsi="Corbel"/>
              </w:rPr>
              <w:t>optional</w:t>
            </w:r>
            <w:proofErr w:type="gramEnd"/>
            <w:r w:rsidRPr="00B148E9">
              <w:rPr>
                <w:rFonts w:ascii="Corbel" w:hAnsi="Corbel"/>
              </w:rPr>
              <w:t xml:space="preserve">/ elective courses which may be taken at a specific stage of a </w:t>
            </w:r>
            <w:proofErr w:type="spellStart"/>
            <w:r w:rsidRPr="00B148E9">
              <w:rPr>
                <w:rFonts w:ascii="Corbel" w:hAnsi="Corbel"/>
              </w:rPr>
              <w:t>progamme</w:t>
            </w:r>
            <w:proofErr w:type="spellEnd"/>
            <w:r w:rsidRPr="00B148E9">
              <w:rPr>
                <w:rFonts w:ascii="Corbel" w:hAnsi="Corbel"/>
              </w:rPr>
              <w:t>.  Fail outcomes  in these courses can  normally be condoned;</w:t>
            </w:r>
          </w:p>
          <w:p w:rsidRPr="00B148E9" w:rsidR="005D2B00" w:rsidP="00B148E9" w:rsidRDefault="003370DD">
            <w:pPr>
              <w:spacing w:before="120" w:after="120"/>
              <w:ind w:left="357" w:hanging="357"/>
              <w:rPr>
                <w:rFonts w:ascii="Corbel" w:hAnsi="Corbel"/>
                <w:b/>
              </w:rPr>
            </w:pPr>
            <w:r w:rsidRPr="00B148E9">
              <w:rPr>
                <w:rFonts w:ascii="Corbel" w:hAnsi="Corbel"/>
              </w:rPr>
              <w:tab/>
            </w:r>
            <w:r w:rsidRPr="00B148E9">
              <w:rPr>
                <w:rFonts w:ascii="Corbel" w:hAnsi="Corbel"/>
                <w:b/>
              </w:rPr>
              <w:t>Masters programmes include a research project/ dissertation, which is mandatory (non-condonable) so must be passed to qualify for the award.</w:t>
            </w:r>
          </w:p>
        </w:tc>
        <w:tc>
          <w:tcPr>
            <w:tcW w:w="1276" w:type="dxa"/>
          </w:tcPr>
          <w:p w:rsidRPr="00B148E9" w:rsidR="005D2B00" w:rsidP="00B148E9" w:rsidRDefault="00696405">
            <w:pPr>
              <w:spacing w:before="120" w:after="120"/>
              <w:jc w:val="center"/>
              <w:rPr>
                <w:rFonts w:ascii="Corbel" w:hAnsi="Corbel"/>
              </w:rPr>
            </w:pPr>
            <w:r w:rsidRPr="00B148E9">
              <w:rPr>
                <w:rFonts w:ascii="Corbel" w:hAnsi="Corbel"/>
              </w:rPr>
              <w:t>5-6</w:t>
            </w:r>
          </w:p>
        </w:tc>
      </w:tr>
      <w:tr w:rsidRPr="00B148E9" w:rsidR="007E68C9" w:rsidTr="001B7EEF">
        <w:tc>
          <w:tcPr>
            <w:tcW w:w="2552" w:type="dxa"/>
          </w:tcPr>
          <w:p w:rsidRPr="00B148E9" w:rsidR="007E68C9" w:rsidP="00B148E9" w:rsidRDefault="007E68C9">
            <w:pPr>
              <w:spacing w:before="120" w:after="120"/>
              <w:rPr>
                <w:rFonts w:ascii="Corbel" w:hAnsi="Corbel"/>
              </w:rPr>
            </w:pPr>
            <w:r w:rsidRPr="00B148E9">
              <w:rPr>
                <w:rFonts w:ascii="Corbel" w:hAnsi="Corbel"/>
              </w:rPr>
              <w:t>Section 8 (2 and 3)</w:t>
            </w:r>
          </w:p>
        </w:tc>
        <w:tc>
          <w:tcPr>
            <w:tcW w:w="6804" w:type="dxa"/>
          </w:tcPr>
          <w:p w:rsidRPr="006F4C81" w:rsidR="007E68C9" w:rsidP="00B148E9" w:rsidRDefault="007E68C9">
            <w:pPr>
              <w:spacing w:before="120" w:after="120"/>
              <w:rPr>
                <w:rFonts w:ascii="Corbel" w:hAnsi="Corbel"/>
                <w:i/>
              </w:rPr>
            </w:pPr>
            <w:r w:rsidRPr="006F4C81">
              <w:rPr>
                <w:rFonts w:ascii="Corbel" w:hAnsi="Corbel"/>
                <w:i/>
              </w:rPr>
              <w:t>The following two paragraphs have been added to Section 8</w:t>
            </w:r>
            <w:r w:rsidRPr="006F4C81" w:rsidR="00696405">
              <w:rPr>
                <w:rFonts w:ascii="Corbel" w:hAnsi="Corbel"/>
                <w:i/>
              </w:rPr>
              <w:t xml:space="preserve"> to clarify whether moving to a new programme counts as a first or second attempt and that students who cannot continue on their current programme can transfer to another in the following academic year.</w:t>
            </w:r>
          </w:p>
          <w:p w:rsidRPr="00B148E9" w:rsidR="00696405" w:rsidP="00B148E9" w:rsidRDefault="00B148E9">
            <w:pPr>
              <w:spacing w:before="120" w:after="120"/>
              <w:rPr>
                <w:rFonts w:ascii="Corbel" w:hAnsi="Corbel"/>
                <w:b/>
              </w:rPr>
            </w:pPr>
            <w:r w:rsidRPr="00B148E9">
              <w:rPr>
                <w:rFonts w:ascii="Corbel" w:hAnsi="Corbel"/>
                <w:b/>
              </w:rPr>
              <w:t>Transfer of programme</w:t>
            </w:r>
          </w:p>
          <w:p w:rsidRPr="00B148E9" w:rsidR="007E68C9" w:rsidP="00B148E9" w:rsidRDefault="007E68C9">
            <w:pPr>
              <w:pStyle w:val="ListParagraph"/>
              <w:numPr>
                <w:ilvl w:val="0"/>
                <w:numId w:val="16"/>
              </w:numPr>
              <w:spacing w:before="120" w:after="120"/>
              <w:ind w:left="357" w:hanging="357"/>
              <w:rPr>
                <w:rFonts w:ascii="Corbel" w:hAnsi="Corbel"/>
                <w:b/>
              </w:rPr>
            </w:pPr>
            <w:r w:rsidRPr="00B148E9">
              <w:rPr>
                <w:rFonts w:ascii="Corbel" w:hAnsi="Corbel"/>
                <w:b/>
              </w:rPr>
              <w:t>Where a student transfers to a new programme of study and is required to repeat a stage of study, this will count as a first attempt at the stage if no credits are carried over, but will count as a second attempt if credits are carried over.</w:t>
            </w:r>
          </w:p>
          <w:p w:rsidRPr="00B148E9" w:rsidR="007E68C9" w:rsidP="00B148E9" w:rsidRDefault="007E68C9">
            <w:pPr>
              <w:pStyle w:val="ListParagraph"/>
              <w:spacing w:before="120" w:after="120"/>
              <w:ind w:left="357" w:hanging="357"/>
              <w:rPr>
                <w:rFonts w:ascii="Corbel" w:hAnsi="Corbel"/>
                <w:b/>
              </w:rPr>
            </w:pPr>
          </w:p>
          <w:p w:rsidRPr="00B148E9" w:rsidR="007E68C9" w:rsidP="00B148E9" w:rsidRDefault="007E68C9">
            <w:pPr>
              <w:pStyle w:val="ListParagraph"/>
              <w:numPr>
                <w:ilvl w:val="0"/>
                <w:numId w:val="16"/>
              </w:numPr>
              <w:spacing w:before="120" w:after="120"/>
              <w:ind w:left="357" w:hanging="357"/>
              <w:rPr>
                <w:rFonts w:ascii="Corbel" w:hAnsi="Corbel"/>
                <w:b/>
              </w:rPr>
            </w:pPr>
            <w:r w:rsidRPr="00B148E9">
              <w:rPr>
                <w:rFonts w:ascii="Corbel" w:hAnsi="Corbel"/>
                <w:b/>
              </w:rPr>
              <w:t xml:space="preserve">A student who is not permitted to continue with his/her programme of study on academic grounds, may be given permission to commence, in the next academic year, another similar or entirely different programme of study in the College at the discretion of the relevant department(s)/ school(s) subject to the requirement in paragraphs in (1c) and (2) above and any </w:t>
            </w:r>
            <w:r w:rsidRPr="00B148E9">
              <w:rPr>
                <w:rFonts w:ascii="Corbel" w:hAnsi="Corbel"/>
                <w:b/>
              </w:rPr>
              <w:lastRenderedPageBreak/>
              <w:t>others set by the relevant department(s)/school(s).</w:t>
            </w:r>
          </w:p>
        </w:tc>
        <w:tc>
          <w:tcPr>
            <w:tcW w:w="1276" w:type="dxa"/>
          </w:tcPr>
          <w:p w:rsidRPr="00B148E9" w:rsidR="007E68C9" w:rsidP="00B148E9" w:rsidRDefault="00696405">
            <w:pPr>
              <w:spacing w:before="120" w:after="120"/>
              <w:jc w:val="center"/>
              <w:rPr>
                <w:rFonts w:ascii="Corbel" w:hAnsi="Corbel"/>
              </w:rPr>
            </w:pPr>
            <w:r w:rsidRPr="00B148E9">
              <w:rPr>
                <w:rFonts w:ascii="Corbel" w:hAnsi="Corbel"/>
              </w:rPr>
              <w:lastRenderedPageBreak/>
              <w:t>7</w:t>
            </w:r>
          </w:p>
        </w:tc>
      </w:tr>
      <w:tr w:rsidRPr="00B148E9" w:rsidR="005D2B00" w:rsidTr="001B7EEF">
        <w:tc>
          <w:tcPr>
            <w:tcW w:w="2552" w:type="dxa"/>
          </w:tcPr>
          <w:p w:rsidRPr="00B148E9" w:rsidR="005D2B00" w:rsidP="00B148E9" w:rsidRDefault="00B71BD9">
            <w:pPr>
              <w:spacing w:before="120" w:after="120"/>
              <w:rPr>
                <w:rFonts w:ascii="Corbel" w:hAnsi="Corbel"/>
              </w:rPr>
            </w:pPr>
            <w:r w:rsidRPr="00B148E9">
              <w:rPr>
                <w:rFonts w:ascii="Corbel" w:hAnsi="Corbel"/>
              </w:rPr>
              <w:t>Section 13 (6)</w:t>
            </w:r>
          </w:p>
        </w:tc>
        <w:tc>
          <w:tcPr>
            <w:tcW w:w="6804" w:type="dxa"/>
          </w:tcPr>
          <w:p w:rsidRPr="006F4C81" w:rsidR="00696405" w:rsidP="00B148E9" w:rsidRDefault="00696405">
            <w:pPr>
              <w:spacing w:before="120" w:after="120"/>
              <w:rPr>
                <w:rFonts w:ascii="Corbel" w:hAnsi="Corbel" w:cs="Arial"/>
                <w:i/>
                <w:lang w:eastAsia="en-GB"/>
              </w:rPr>
            </w:pPr>
            <w:r w:rsidRPr="006F4C81">
              <w:rPr>
                <w:rFonts w:ascii="Corbel" w:hAnsi="Corbel" w:cs="Arial"/>
                <w:i/>
                <w:lang w:eastAsia="en-GB"/>
              </w:rPr>
              <w:t xml:space="preserve">The </w:t>
            </w:r>
            <w:r w:rsidRPr="006F4C81" w:rsidR="004056DF">
              <w:rPr>
                <w:rFonts w:ascii="Corbel" w:hAnsi="Corbel" w:cs="Arial"/>
                <w:i/>
                <w:lang w:eastAsia="en-GB"/>
              </w:rPr>
              <w:t>paragraph</w:t>
            </w:r>
            <w:r w:rsidRPr="006F4C81">
              <w:rPr>
                <w:rFonts w:ascii="Corbel" w:hAnsi="Corbel" w:cs="Arial"/>
                <w:i/>
                <w:lang w:eastAsia="en-GB"/>
              </w:rPr>
              <w:t xml:space="preserve"> pertaining to the penalties for over length work has been amended as indicated below</w:t>
            </w:r>
            <w:r w:rsidRPr="006F4C81" w:rsidR="006F4C81">
              <w:rPr>
                <w:rFonts w:ascii="Corbel" w:hAnsi="Corbel" w:cs="Arial"/>
                <w:i/>
                <w:lang w:eastAsia="en-GB"/>
              </w:rPr>
              <w:t>.</w:t>
            </w:r>
          </w:p>
          <w:p w:rsidRPr="00B148E9" w:rsidR="00B148E9" w:rsidP="00B148E9" w:rsidRDefault="00B148E9">
            <w:pPr>
              <w:spacing w:before="120" w:after="120"/>
              <w:rPr>
                <w:rFonts w:ascii="Corbel" w:hAnsi="Corbel" w:cs="Arial"/>
                <w:b/>
                <w:lang w:eastAsia="en-GB"/>
              </w:rPr>
            </w:pPr>
            <w:r w:rsidRPr="00B148E9">
              <w:rPr>
                <w:rFonts w:ascii="Corbel" w:hAnsi="Corbel" w:cs="Arial"/>
                <w:b/>
                <w:lang w:eastAsia="en-GB"/>
              </w:rPr>
              <w:t>Outcome</w:t>
            </w:r>
            <w:r>
              <w:rPr>
                <w:rFonts w:ascii="Corbel" w:hAnsi="Corbel" w:cs="Arial"/>
                <w:b/>
                <w:lang w:eastAsia="en-GB"/>
              </w:rPr>
              <w:t>s</w:t>
            </w:r>
            <w:r w:rsidRPr="00B148E9">
              <w:rPr>
                <w:rFonts w:ascii="Corbel" w:hAnsi="Corbel" w:cs="Arial"/>
                <w:b/>
                <w:lang w:eastAsia="en-GB"/>
              </w:rPr>
              <w:t xml:space="preserve"> of course assessment</w:t>
            </w:r>
          </w:p>
          <w:p w:rsidRPr="00B148E9" w:rsidR="00B71BD9" w:rsidP="00B148E9" w:rsidRDefault="00B71BD9">
            <w:pPr>
              <w:pStyle w:val="ListParagraph"/>
              <w:numPr>
                <w:ilvl w:val="0"/>
                <w:numId w:val="6"/>
              </w:numPr>
              <w:spacing w:before="120" w:after="120"/>
              <w:ind w:left="357" w:hanging="357"/>
              <w:rPr>
                <w:rFonts w:ascii="Corbel" w:hAnsi="Corbel" w:cs="Arial"/>
                <w:lang w:eastAsia="en-GB"/>
              </w:rPr>
            </w:pPr>
            <w:r w:rsidRPr="00B148E9">
              <w:rPr>
                <w:rFonts w:ascii="Corbel" w:hAnsi="Corbel" w:cs="Arial"/>
                <w:lang w:eastAsia="en-GB"/>
              </w:rPr>
              <w:t>Work which exceeds the upper word limit set will be penalised as follows:</w:t>
            </w:r>
          </w:p>
          <w:p w:rsidRPr="00B148E9" w:rsidR="00B71BD9" w:rsidP="00B148E9" w:rsidRDefault="00B71BD9">
            <w:pPr>
              <w:pStyle w:val="ListParagraph"/>
              <w:spacing w:before="120" w:after="120"/>
              <w:ind w:left="357"/>
              <w:rPr>
                <w:rFonts w:ascii="Corbel" w:hAnsi="Corbel" w:cs="Arial"/>
                <w:lang w:eastAsia="en-GB"/>
              </w:rPr>
            </w:pPr>
          </w:p>
          <w:p w:rsidRPr="00B148E9" w:rsidR="00B71BD9" w:rsidP="00B148E9" w:rsidRDefault="00B71BD9">
            <w:pPr>
              <w:pStyle w:val="ListParagraph"/>
              <w:numPr>
                <w:ilvl w:val="0"/>
                <w:numId w:val="7"/>
              </w:numPr>
              <w:spacing w:before="120" w:after="120"/>
              <w:rPr>
                <w:rFonts w:ascii="Corbel" w:hAnsi="Corbel"/>
              </w:rPr>
            </w:pPr>
            <w:r w:rsidRPr="00B148E9">
              <w:rPr>
                <w:rFonts w:ascii="Corbel" w:hAnsi="Corbel"/>
              </w:rPr>
              <w:t>For work which exceeds the upper word limit by up to 10%</w:t>
            </w:r>
            <w:r w:rsidR="006F4C81">
              <w:rPr>
                <w:rFonts w:ascii="Corbel" w:hAnsi="Corbel"/>
              </w:rPr>
              <w:t>,</w:t>
            </w:r>
            <w:r w:rsidRPr="00B148E9">
              <w:rPr>
                <w:rFonts w:ascii="Corbel" w:hAnsi="Corbel"/>
              </w:rPr>
              <w:t xml:space="preserve"> the mark will be reduced by </w:t>
            </w:r>
            <w:r w:rsidRPr="00B148E9">
              <w:rPr>
                <w:rFonts w:ascii="Corbel" w:hAnsi="Corbel"/>
                <w:b/>
              </w:rPr>
              <w:t>ten percent of the mark initially awarded</w:t>
            </w:r>
            <w:r w:rsidRPr="00B148E9">
              <w:rPr>
                <w:rFonts w:ascii="Corbel" w:hAnsi="Corbel"/>
              </w:rPr>
              <w:t xml:space="preserve">; </w:t>
            </w:r>
          </w:p>
          <w:p w:rsidRPr="00B148E9" w:rsidR="00B71BD9" w:rsidP="00B148E9" w:rsidRDefault="00B71BD9">
            <w:pPr>
              <w:pStyle w:val="ListParagraph"/>
              <w:numPr>
                <w:ilvl w:val="0"/>
                <w:numId w:val="7"/>
              </w:numPr>
              <w:spacing w:before="120" w:after="120"/>
              <w:rPr>
                <w:rFonts w:ascii="Corbel" w:hAnsi="Corbel"/>
              </w:rPr>
            </w:pPr>
            <w:r w:rsidRPr="00B148E9">
              <w:rPr>
                <w:rFonts w:ascii="Corbel" w:hAnsi="Corbel"/>
              </w:rPr>
              <w:t xml:space="preserve">For work which exceeds the upper word limit by more than 10% but less than 20%, the mark will be reduced by </w:t>
            </w:r>
            <w:r w:rsidRPr="00B148E9">
              <w:rPr>
                <w:rFonts w:ascii="Corbel" w:hAnsi="Corbel"/>
                <w:b/>
              </w:rPr>
              <w:t>twenty percent of the mark initially awarded;</w:t>
            </w:r>
            <w:r w:rsidRPr="00B148E9">
              <w:rPr>
                <w:rFonts w:ascii="Corbel" w:hAnsi="Corbel"/>
              </w:rPr>
              <w:t xml:space="preserve"> </w:t>
            </w:r>
          </w:p>
          <w:p w:rsidRPr="00B148E9" w:rsidR="005D2B00" w:rsidP="00B148E9" w:rsidRDefault="00B71BD9">
            <w:pPr>
              <w:pStyle w:val="ListParagraph"/>
              <w:numPr>
                <w:ilvl w:val="0"/>
                <w:numId w:val="7"/>
              </w:numPr>
              <w:spacing w:before="120" w:after="120"/>
              <w:rPr>
                <w:rFonts w:ascii="Corbel" w:hAnsi="Corbel"/>
              </w:rPr>
            </w:pPr>
            <w:r w:rsidRPr="00B148E9">
              <w:rPr>
                <w:rFonts w:ascii="Corbel" w:hAnsi="Corbel"/>
                <w:b/>
              </w:rPr>
              <w:t>For work which exceeds the upper word limit by more than 20%,</w:t>
            </w:r>
            <w:r w:rsidRPr="00B148E9">
              <w:rPr>
                <w:rFonts w:ascii="Corbel" w:hAnsi="Corbel"/>
              </w:rPr>
              <w:t xml:space="preserve"> </w:t>
            </w:r>
            <w:r w:rsidRPr="00B148E9">
              <w:rPr>
                <w:rFonts w:ascii="Corbel" w:hAnsi="Corbel"/>
                <w:b/>
              </w:rPr>
              <w:t>the mark will be reduced by thirty percent of the mark initially awarded.</w:t>
            </w:r>
          </w:p>
        </w:tc>
        <w:tc>
          <w:tcPr>
            <w:tcW w:w="1276" w:type="dxa"/>
          </w:tcPr>
          <w:p w:rsidRPr="00B148E9" w:rsidR="005D2B00" w:rsidP="00B148E9" w:rsidRDefault="00696405">
            <w:pPr>
              <w:spacing w:before="120" w:after="120"/>
              <w:jc w:val="center"/>
              <w:rPr>
                <w:rFonts w:ascii="Corbel" w:hAnsi="Corbel"/>
              </w:rPr>
            </w:pPr>
            <w:r w:rsidRPr="00B148E9">
              <w:rPr>
                <w:rFonts w:ascii="Corbel" w:hAnsi="Corbel"/>
              </w:rPr>
              <w:t>10</w:t>
            </w:r>
          </w:p>
        </w:tc>
      </w:tr>
      <w:tr w:rsidRPr="00B148E9" w:rsidR="009538C5" w:rsidTr="001B7EEF">
        <w:tc>
          <w:tcPr>
            <w:tcW w:w="2552" w:type="dxa"/>
          </w:tcPr>
          <w:p w:rsidRPr="00B148E9" w:rsidR="009538C5" w:rsidP="00B148E9" w:rsidRDefault="009538C5">
            <w:pPr>
              <w:spacing w:before="120" w:after="120"/>
              <w:rPr>
                <w:rFonts w:ascii="Corbel" w:hAnsi="Corbel"/>
              </w:rPr>
            </w:pPr>
            <w:r w:rsidRPr="00B148E9">
              <w:rPr>
                <w:rFonts w:ascii="Corbel" w:hAnsi="Corbel"/>
              </w:rPr>
              <w:t>Section 15 (</w:t>
            </w:r>
            <w:r w:rsidRPr="00B148E9" w:rsidR="00696405">
              <w:rPr>
                <w:rFonts w:ascii="Corbel" w:hAnsi="Corbel"/>
              </w:rPr>
              <w:t>3</w:t>
            </w:r>
            <w:r w:rsidRPr="00B148E9">
              <w:rPr>
                <w:rFonts w:ascii="Corbel" w:hAnsi="Corbel"/>
              </w:rPr>
              <w:t>g)</w:t>
            </w:r>
          </w:p>
        </w:tc>
        <w:tc>
          <w:tcPr>
            <w:tcW w:w="6804" w:type="dxa"/>
          </w:tcPr>
          <w:p w:rsidRPr="006F4C81" w:rsidR="009538C5" w:rsidP="00B148E9" w:rsidRDefault="009538C5">
            <w:pPr>
              <w:spacing w:before="120" w:after="120"/>
              <w:rPr>
                <w:rFonts w:ascii="Corbel" w:hAnsi="Corbel"/>
                <w:i/>
                <w:color w:val="000000"/>
              </w:rPr>
            </w:pPr>
            <w:r w:rsidRPr="006F4C81">
              <w:rPr>
                <w:rFonts w:ascii="Corbel" w:hAnsi="Corbel"/>
                <w:i/>
                <w:color w:val="000000"/>
              </w:rPr>
              <w:t>The following paragraph has been added to Section 15</w:t>
            </w:r>
            <w:r w:rsidRPr="006F4C81" w:rsidR="00696405">
              <w:rPr>
                <w:rFonts w:ascii="Corbel" w:hAnsi="Corbel"/>
                <w:i/>
                <w:color w:val="000000"/>
              </w:rPr>
              <w:t xml:space="preserve"> to clarify how final award outcomes for Postgraduate Certificates and Diplomas are calculated where students have taken and passed more than the required credits</w:t>
            </w:r>
            <w:r w:rsidRPr="006F4C81">
              <w:rPr>
                <w:rFonts w:ascii="Corbel" w:hAnsi="Corbel"/>
                <w:i/>
                <w:color w:val="000000"/>
              </w:rPr>
              <w:t>.</w:t>
            </w:r>
            <w:r w:rsidRPr="006F4C81" w:rsidR="00D43A5A">
              <w:rPr>
                <w:rFonts w:ascii="Corbel" w:hAnsi="Corbel"/>
                <w:i/>
                <w:color w:val="000000"/>
              </w:rPr>
              <w:t xml:space="preserve"> It also includes the </w:t>
            </w:r>
            <w:proofErr w:type="gramStart"/>
            <w:r w:rsidRPr="006F4C81" w:rsidR="00D43A5A">
              <w:rPr>
                <w:rFonts w:ascii="Corbel" w:hAnsi="Corbel"/>
                <w:i/>
                <w:color w:val="000000"/>
              </w:rPr>
              <w:t>stipulation  that</w:t>
            </w:r>
            <w:proofErr w:type="gramEnd"/>
            <w:r w:rsidRPr="006F4C81" w:rsidR="00D43A5A">
              <w:rPr>
                <w:rFonts w:ascii="Corbel" w:hAnsi="Corbel"/>
                <w:i/>
                <w:color w:val="000000"/>
              </w:rPr>
              <w:t xml:space="preserve"> the award of a Postgraduate Diploma may be made where 120 credits have been </w:t>
            </w:r>
            <w:r w:rsidRPr="006F4C81" w:rsidR="006F4C81">
              <w:rPr>
                <w:rFonts w:ascii="Corbel" w:hAnsi="Corbel"/>
                <w:i/>
                <w:color w:val="000000"/>
              </w:rPr>
              <w:t>passed in taught courses and</w:t>
            </w:r>
            <w:r w:rsidRPr="006F4C81" w:rsidR="00D43A5A">
              <w:rPr>
                <w:rFonts w:ascii="Corbel" w:hAnsi="Corbel"/>
                <w:i/>
                <w:color w:val="000000"/>
              </w:rPr>
              <w:t xml:space="preserve"> the dissertation/ research project. </w:t>
            </w:r>
          </w:p>
          <w:p w:rsidRPr="00B148E9" w:rsidR="009538C5" w:rsidP="00B148E9" w:rsidRDefault="00B148E9">
            <w:pPr>
              <w:spacing w:before="120" w:after="120"/>
              <w:rPr>
                <w:rFonts w:ascii="Corbel" w:hAnsi="Corbel"/>
                <w:b/>
                <w:color w:val="000000"/>
              </w:rPr>
            </w:pPr>
            <w:r w:rsidRPr="00B148E9">
              <w:rPr>
                <w:rFonts w:ascii="Corbel" w:hAnsi="Corbel"/>
                <w:b/>
                <w:color w:val="000000"/>
              </w:rPr>
              <w:t>Consideration and classification of candidates for the award</w:t>
            </w:r>
          </w:p>
          <w:p w:rsidRPr="00B148E9" w:rsidR="009538C5" w:rsidP="00B148E9" w:rsidRDefault="009538C5">
            <w:pPr>
              <w:pStyle w:val="ListParagraph"/>
              <w:numPr>
                <w:ilvl w:val="0"/>
                <w:numId w:val="17"/>
              </w:numPr>
              <w:spacing w:before="120" w:after="120"/>
              <w:ind w:left="357" w:hanging="357"/>
              <w:contextualSpacing w:val="0"/>
              <w:rPr>
                <w:rFonts w:ascii="Corbel" w:hAnsi="Corbel"/>
                <w:i/>
              </w:rPr>
            </w:pPr>
            <w:r w:rsidRPr="00B148E9">
              <w:rPr>
                <w:rFonts w:ascii="Corbel" w:hAnsi="Corbel"/>
                <w:b/>
              </w:rPr>
              <w:t xml:space="preserve">For the purposes of calculating the Final Average for the award of a Postgraduate Diploma  or Postgraduate Certificate where the student has taken and passed more than the minimum  number of credits for the award, the highest marks for  120 credits or 60 credits (or closest to these minima) respectively will be used. For the purposes of calculating the Final Average for the award of a Postgraduate Diploma the 120 credits may include the passing mark awarded for the dissertation/ research project. For the purposes of calculating the Final Average for the award of a Postgraduate Certificate, only passing marks for taught courses will be used. </w:t>
            </w:r>
          </w:p>
        </w:tc>
        <w:tc>
          <w:tcPr>
            <w:tcW w:w="1276" w:type="dxa"/>
          </w:tcPr>
          <w:p w:rsidRPr="00B148E9" w:rsidR="009538C5" w:rsidP="00B148E9" w:rsidRDefault="00D43A5A">
            <w:pPr>
              <w:spacing w:before="120" w:after="120"/>
              <w:jc w:val="center"/>
              <w:rPr>
                <w:rFonts w:ascii="Corbel" w:hAnsi="Corbel"/>
              </w:rPr>
            </w:pPr>
            <w:r w:rsidRPr="00B148E9">
              <w:rPr>
                <w:rFonts w:ascii="Corbel" w:hAnsi="Corbel"/>
              </w:rPr>
              <w:t>12</w:t>
            </w:r>
          </w:p>
        </w:tc>
      </w:tr>
      <w:tr w:rsidRPr="00B148E9" w:rsidR="009538C5" w:rsidTr="001B7EEF">
        <w:tc>
          <w:tcPr>
            <w:tcW w:w="2552" w:type="dxa"/>
          </w:tcPr>
          <w:p w:rsidRPr="00B148E9" w:rsidR="009538C5" w:rsidP="00B148E9" w:rsidRDefault="00D43A5A">
            <w:pPr>
              <w:spacing w:before="120" w:after="120"/>
              <w:rPr>
                <w:rFonts w:ascii="Corbel" w:hAnsi="Corbel"/>
              </w:rPr>
            </w:pPr>
            <w:r w:rsidRPr="00B148E9">
              <w:rPr>
                <w:rFonts w:ascii="Corbel" w:hAnsi="Corbel"/>
              </w:rPr>
              <w:t>Section 15 (5)</w:t>
            </w:r>
          </w:p>
        </w:tc>
        <w:tc>
          <w:tcPr>
            <w:tcW w:w="6804" w:type="dxa"/>
          </w:tcPr>
          <w:p w:rsidRPr="006F4C81" w:rsidR="00D43A5A" w:rsidP="00B148E9" w:rsidRDefault="00D43A5A">
            <w:pPr>
              <w:pStyle w:val="Default"/>
              <w:spacing w:before="120" w:after="120"/>
              <w:rPr>
                <w:rFonts w:ascii="Corbel" w:hAnsi="Corbel"/>
                <w:i/>
                <w:sz w:val="22"/>
                <w:szCs w:val="22"/>
              </w:rPr>
            </w:pPr>
            <w:r w:rsidRPr="006F4C81">
              <w:rPr>
                <w:rFonts w:ascii="Corbel" w:hAnsi="Corbel"/>
                <w:i/>
                <w:sz w:val="22"/>
                <w:szCs w:val="22"/>
              </w:rPr>
              <w:t xml:space="preserve">The following </w:t>
            </w:r>
            <w:r w:rsidRPr="006F4C81" w:rsidR="00E01418">
              <w:rPr>
                <w:rFonts w:ascii="Corbel" w:hAnsi="Corbel"/>
                <w:i/>
                <w:sz w:val="22"/>
                <w:szCs w:val="22"/>
              </w:rPr>
              <w:t>amendment</w:t>
            </w:r>
            <w:r w:rsidRPr="006F4C81">
              <w:rPr>
                <w:rFonts w:ascii="Corbel" w:hAnsi="Corbel"/>
                <w:i/>
                <w:sz w:val="22"/>
                <w:szCs w:val="22"/>
              </w:rPr>
              <w:t>s have been made to clarify the need to pass the dissertation/ research project for the award of a Masters degree</w:t>
            </w:r>
            <w:r w:rsidRPr="006F4C81" w:rsidR="00E01418">
              <w:rPr>
                <w:rFonts w:ascii="Corbel" w:hAnsi="Corbel"/>
                <w:i/>
                <w:sz w:val="22"/>
                <w:szCs w:val="22"/>
              </w:rPr>
              <w:t xml:space="preserve"> (see also amendment to Section 6 (2))</w:t>
            </w:r>
            <w:r w:rsidRPr="006F4C81">
              <w:rPr>
                <w:rFonts w:ascii="Corbel" w:hAnsi="Corbel"/>
                <w:i/>
                <w:sz w:val="22"/>
                <w:szCs w:val="22"/>
              </w:rPr>
              <w:t>.</w:t>
            </w:r>
          </w:p>
          <w:p w:rsidRPr="00B148E9" w:rsidR="00B148E9" w:rsidP="00B148E9" w:rsidRDefault="00B148E9">
            <w:pPr>
              <w:spacing w:before="120" w:after="120"/>
              <w:rPr>
                <w:rFonts w:ascii="Corbel" w:hAnsi="Corbel"/>
                <w:b/>
                <w:color w:val="000000"/>
              </w:rPr>
            </w:pPr>
            <w:r w:rsidRPr="00B148E9">
              <w:rPr>
                <w:rFonts w:ascii="Corbel" w:hAnsi="Corbel"/>
                <w:b/>
                <w:color w:val="000000"/>
              </w:rPr>
              <w:t>Consideration and classification of candidates for the award</w:t>
            </w:r>
          </w:p>
          <w:p w:rsidRPr="00B148E9" w:rsidR="009538C5" w:rsidP="00435950" w:rsidRDefault="007E68C9">
            <w:pPr>
              <w:pStyle w:val="Default"/>
              <w:numPr>
                <w:ilvl w:val="0"/>
                <w:numId w:val="18"/>
              </w:numPr>
              <w:spacing w:before="120" w:after="120"/>
              <w:ind w:left="357" w:hanging="357"/>
              <w:rPr>
                <w:rFonts w:ascii="Corbel" w:hAnsi="Corbel"/>
                <w:b/>
                <w:sz w:val="22"/>
                <w:szCs w:val="22"/>
              </w:rPr>
            </w:pPr>
            <w:bookmarkStart w:name="_GoBack" w:id="0"/>
            <w:bookmarkEnd w:id="0"/>
            <w:r w:rsidRPr="00B148E9">
              <w:rPr>
                <w:rFonts w:ascii="Corbel" w:hAnsi="Corbel" w:cs="Century Gothic"/>
                <w:sz w:val="22"/>
                <w:szCs w:val="22"/>
              </w:rPr>
              <w:t xml:space="preserve">For students first registered on </w:t>
            </w:r>
            <w:r w:rsidRPr="00B148E9">
              <w:rPr>
                <w:rFonts w:ascii="Corbel" w:hAnsi="Corbel" w:cs="Century Gothic"/>
                <w:b/>
                <w:sz w:val="22"/>
                <w:szCs w:val="22"/>
              </w:rPr>
              <w:t>Taught Masters and Postgraduate Diplomas</w:t>
            </w:r>
            <w:r w:rsidRPr="00B148E9">
              <w:rPr>
                <w:rFonts w:ascii="Corbel" w:hAnsi="Corbel" w:cs="Century Gothic"/>
                <w:sz w:val="22"/>
                <w:szCs w:val="22"/>
              </w:rPr>
              <w:t xml:space="preserve"> with effect from September 2014, the examiners may, at their discretion and with the agreement of the External Examiner(s), condone a mark of Fail in </w:t>
            </w:r>
            <w:r w:rsidRPr="00B148E9">
              <w:rPr>
                <w:rFonts w:ascii="Corbel" w:hAnsi="Corbel" w:cs="Century Gothic"/>
                <w:b/>
                <w:sz w:val="22"/>
                <w:szCs w:val="22"/>
              </w:rPr>
              <w:t xml:space="preserve">taught </w:t>
            </w:r>
            <w:r w:rsidRPr="00B148E9">
              <w:rPr>
                <w:rFonts w:ascii="Corbel" w:hAnsi="Corbel" w:cs="Century Gothic"/>
                <w:sz w:val="22"/>
                <w:szCs w:val="22"/>
              </w:rPr>
              <w:t xml:space="preserve">courses constituting up to a maximum of 40 credits, except that the percentage score in any such </w:t>
            </w:r>
            <w:r w:rsidRPr="00B148E9">
              <w:rPr>
                <w:rFonts w:ascii="Corbel" w:hAnsi="Corbel"/>
                <w:sz w:val="22"/>
                <w:szCs w:val="22"/>
              </w:rPr>
              <w:t xml:space="preserve">course may not normally be below 40%.  For students first registered on </w:t>
            </w:r>
            <w:r w:rsidRPr="00B148E9">
              <w:rPr>
                <w:rFonts w:ascii="Corbel" w:hAnsi="Corbel"/>
                <w:b/>
                <w:sz w:val="22"/>
                <w:szCs w:val="22"/>
              </w:rPr>
              <w:t>such</w:t>
            </w:r>
            <w:r w:rsidRPr="00B148E9">
              <w:rPr>
                <w:rFonts w:ascii="Corbel" w:hAnsi="Corbel"/>
                <w:sz w:val="22"/>
                <w:szCs w:val="22"/>
              </w:rPr>
              <w:t xml:space="preserve"> programmes prior to September 2014 </w:t>
            </w:r>
            <w:r w:rsidRPr="00B148E9">
              <w:rPr>
                <w:rFonts w:ascii="Corbel" w:hAnsi="Corbel" w:cs="Century Gothic"/>
                <w:sz w:val="22"/>
                <w:szCs w:val="22"/>
              </w:rPr>
              <w:t xml:space="preserve">the examiners may, at their discretion and with the agreement of the External </w:t>
            </w:r>
            <w:r w:rsidRPr="00B148E9">
              <w:rPr>
                <w:rFonts w:ascii="Corbel" w:hAnsi="Corbel" w:cs="Century Gothic"/>
                <w:sz w:val="22"/>
                <w:szCs w:val="22"/>
              </w:rPr>
              <w:lastRenderedPageBreak/>
              <w:t xml:space="preserve">Examiner(s), condone a mark of Fail in </w:t>
            </w:r>
            <w:r w:rsidRPr="00B148E9">
              <w:rPr>
                <w:rFonts w:ascii="Corbel" w:hAnsi="Corbel" w:cs="Century Gothic"/>
                <w:b/>
                <w:sz w:val="22"/>
                <w:szCs w:val="22"/>
              </w:rPr>
              <w:t>taught</w:t>
            </w:r>
            <w:r w:rsidRPr="00B148E9">
              <w:rPr>
                <w:rFonts w:ascii="Corbel" w:hAnsi="Corbel" w:cs="Century Gothic"/>
                <w:sz w:val="22"/>
                <w:szCs w:val="22"/>
              </w:rPr>
              <w:t xml:space="preserve"> courses constituting up to one quarter of the final assessment, or a maximum of 40 credits, except that the percentage score in any such </w:t>
            </w:r>
            <w:r w:rsidRPr="00B148E9">
              <w:rPr>
                <w:rFonts w:ascii="Corbel" w:hAnsi="Corbel"/>
                <w:sz w:val="22"/>
                <w:szCs w:val="22"/>
              </w:rPr>
              <w:t xml:space="preserve">course may not normally be below 40%. </w:t>
            </w:r>
            <w:r w:rsidRPr="00B148E9">
              <w:rPr>
                <w:rFonts w:ascii="Corbel" w:hAnsi="Corbel"/>
                <w:b/>
                <w:sz w:val="22"/>
                <w:szCs w:val="22"/>
              </w:rPr>
              <w:t>Taught courses</w:t>
            </w:r>
            <w:r w:rsidRPr="00B148E9">
              <w:rPr>
                <w:rFonts w:ascii="Corbel" w:hAnsi="Corbel"/>
                <w:sz w:val="22"/>
                <w:szCs w:val="22"/>
              </w:rPr>
              <w:t xml:space="preserve"> in which a mark of Fail may not be condoned will be specified in the programme specification</w:t>
            </w:r>
            <w:r w:rsidR="00CA658D">
              <w:rPr>
                <w:rFonts w:ascii="Corbel" w:hAnsi="Corbel"/>
                <w:b/>
                <w:sz w:val="22"/>
                <w:szCs w:val="22"/>
              </w:rPr>
              <w:t>. A F</w:t>
            </w:r>
            <w:r w:rsidRPr="00B148E9">
              <w:rPr>
                <w:rFonts w:ascii="Corbel" w:hAnsi="Corbel"/>
                <w:b/>
                <w:sz w:val="22"/>
                <w:szCs w:val="22"/>
              </w:rPr>
              <w:t xml:space="preserve">ail in the dissertation/ research project cannot be </w:t>
            </w:r>
            <w:proofErr w:type="gramStart"/>
            <w:r w:rsidRPr="00B148E9">
              <w:rPr>
                <w:rFonts w:ascii="Corbel" w:hAnsi="Corbel"/>
                <w:b/>
                <w:sz w:val="22"/>
                <w:szCs w:val="22"/>
              </w:rPr>
              <w:t>condoned  for</w:t>
            </w:r>
            <w:proofErr w:type="gramEnd"/>
            <w:r w:rsidRPr="00B148E9">
              <w:rPr>
                <w:rFonts w:ascii="Corbel" w:hAnsi="Corbel"/>
                <w:b/>
                <w:sz w:val="22"/>
                <w:szCs w:val="22"/>
              </w:rPr>
              <w:t xml:space="preserve"> the award of a Taught Masters degree</w:t>
            </w:r>
            <w:r w:rsidRPr="00B148E9">
              <w:rPr>
                <w:rFonts w:ascii="Corbel" w:hAnsi="Corbel"/>
                <w:sz w:val="22"/>
                <w:szCs w:val="22"/>
              </w:rPr>
              <w:t xml:space="preserve">.  A mark of Fail </w:t>
            </w:r>
            <w:r w:rsidRPr="00B148E9">
              <w:rPr>
                <w:rFonts w:ascii="Corbel" w:hAnsi="Corbel"/>
                <w:bCs/>
                <w:iCs/>
                <w:color w:val="auto"/>
                <w:sz w:val="22"/>
                <w:szCs w:val="22"/>
              </w:rPr>
              <w:t>will be condoned at the first attempt if an award can be made unless there are extenuating circumstances which would warrant a further attempt at the assessment for one or more courses in line with Section 14 or there is requirement from a Professional Statutory or Regulatory Body for students to pass all courses</w:t>
            </w:r>
            <w:r w:rsidRPr="00B148E9">
              <w:rPr>
                <w:rFonts w:ascii="Corbel" w:hAnsi="Corbel"/>
                <w:iCs/>
                <w:color w:val="auto"/>
                <w:sz w:val="22"/>
                <w:szCs w:val="22"/>
              </w:rPr>
              <w:t xml:space="preserve"> for the award. </w:t>
            </w:r>
            <w:r w:rsidRPr="00B148E9">
              <w:rPr>
                <w:rFonts w:ascii="Corbel" w:hAnsi="Corbel"/>
                <w:sz w:val="22"/>
                <w:szCs w:val="22"/>
              </w:rPr>
              <w:t xml:space="preserve"> The examiners will not normally condone failure in credits leading to the award of a Postgraduate Certificate.</w:t>
            </w:r>
          </w:p>
        </w:tc>
        <w:tc>
          <w:tcPr>
            <w:tcW w:w="1276" w:type="dxa"/>
          </w:tcPr>
          <w:p w:rsidRPr="00B148E9" w:rsidR="009538C5" w:rsidP="00B148E9" w:rsidRDefault="00D43A5A">
            <w:pPr>
              <w:spacing w:before="120" w:after="120"/>
              <w:jc w:val="center"/>
              <w:rPr>
                <w:rFonts w:ascii="Corbel" w:hAnsi="Corbel"/>
              </w:rPr>
            </w:pPr>
            <w:r w:rsidRPr="00B148E9">
              <w:rPr>
                <w:rFonts w:ascii="Corbel" w:hAnsi="Corbel"/>
              </w:rPr>
              <w:lastRenderedPageBreak/>
              <w:t>13</w:t>
            </w:r>
          </w:p>
        </w:tc>
      </w:tr>
      <w:tr w:rsidRPr="00B148E9" w:rsidR="009538C5" w:rsidTr="001B7EEF">
        <w:tc>
          <w:tcPr>
            <w:tcW w:w="2552" w:type="dxa"/>
          </w:tcPr>
          <w:p w:rsidRPr="00B148E9" w:rsidR="009538C5" w:rsidP="00B148E9" w:rsidRDefault="00E01418">
            <w:pPr>
              <w:spacing w:before="120" w:after="120"/>
              <w:rPr>
                <w:rFonts w:ascii="Corbel" w:hAnsi="Corbel"/>
              </w:rPr>
            </w:pPr>
            <w:r w:rsidRPr="00B148E9">
              <w:rPr>
                <w:rFonts w:ascii="Corbel" w:hAnsi="Corbel"/>
              </w:rPr>
              <w:t>Sections 16 (3) and 17</w:t>
            </w:r>
          </w:p>
        </w:tc>
        <w:tc>
          <w:tcPr>
            <w:tcW w:w="6804" w:type="dxa"/>
          </w:tcPr>
          <w:p w:rsidRPr="006F4C81" w:rsidR="00E01418" w:rsidP="00B148E9" w:rsidRDefault="00E01418">
            <w:pPr>
              <w:tabs>
                <w:tab w:val="left" w:pos="851"/>
              </w:tabs>
              <w:spacing w:before="120" w:after="120"/>
              <w:rPr>
                <w:rFonts w:ascii="Corbel" w:hAnsi="Corbel"/>
                <w:i/>
              </w:rPr>
            </w:pPr>
            <w:r w:rsidRPr="006F4C81">
              <w:rPr>
                <w:rFonts w:ascii="Corbel" w:hAnsi="Corbel"/>
                <w:i/>
              </w:rPr>
              <w:t>The following paragraph in Section 16 has been amended to reiterate the point made in Section 10 (2) about students on Tier 4</w:t>
            </w:r>
            <w:r w:rsidRPr="006F4C81" w:rsidR="00B148E9">
              <w:rPr>
                <w:rFonts w:ascii="Corbel" w:hAnsi="Corbel"/>
                <w:i/>
              </w:rPr>
              <w:t xml:space="preserve"> visas. The whole of Section 17: Formal Warning procedure </w:t>
            </w:r>
            <w:r w:rsidRPr="006F4C81">
              <w:rPr>
                <w:rFonts w:ascii="Corbel" w:hAnsi="Corbel"/>
                <w:i/>
              </w:rPr>
              <w:t>has been rewritten to remove some of the detail on steps to be followed in issuing formal warnings. The process remains the same.</w:t>
            </w:r>
          </w:p>
          <w:p w:rsidRPr="00B148E9" w:rsidR="00E01418" w:rsidP="00B148E9" w:rsidRDefault="00B148E9">
            <w:pPr>
              <w:tabs>
                <w:tab w:val="left" w:pos="851"/>
              </w:tabs>
              <w:spacing w:before="120" w:after="120"/>
              <w:rPr>
                <w:rFonts w:ascii="Corbel" w:hAnsi="Corbel"/>
                <w:b/>
              </w:rPr>
            </w:pPr>
            <w:r w:rsidRPr="00B148E9">
              <w:rPr>
                <w:rFonts w:ascii="Corbel" w:hAnsi="Corbel"/>
                <w:b/>
              </w:rPr>
              <w:t>Academic grounds for termination of registration</w:t>
            </w:r>
          </w:p>
          <w:p w:rsidRPr="00CA658D" w:rsidR="009538C5" w:rsidP="00CA658D" w:rsidRDefault="007E68C9">
            <w:pPr>
              <w:pStyle w:val="ListParagraph"/>
              <w:numPr>
                <w:ilvl w:val="0"/>
                <w:numId w:val="15"/>
              </w:numPr>
              <w:tabs>
                <w:tab w:val="left" w:pos="851"/>
              </w:tabs>
              <w:spacing w:before="120" w:after="120"/>
              <w:ind w:left="357" w:hanging="357"/>
              <w:rPr>
                <w:rFonts w:ascii="Corbel" w:hAnsi="Corbel"/>
                <w:b/>
              </w:rPr>
            </w:pPr>
            <w:r w:rsidRPr="00CA658D">
              <w:rPr>
                <w:rFonts w:ascii="Corbel" w:hAnsi="Corbel"/>
              </w:rPr>
              <w:t xml:space="preserve">A Head of Department or School may make a recommendation to a Vice-Principal to terminate a student’s registration for a programme on any of the grounds set out in paragraph (1) (c – e) above, in the absence of a satisfactory and adequately documented reason for the failure(s). In such cases the Head of Department or School will follow the formal warning procedure set out in Section 17 of these regulations. </w:t>
            </w:r>
            <w:r w:rsidRPr="00CA658D">
              <w:rPr>
                <w:rFonts w:ascii="Corbel" w:hAnsi="Corbel"/>
                <w:b/>
              </w:rPr>
              <w:t>For students holding a Tier 4 (General) Student Visa, the College has obligations placed on it to report non-attendance to  UK Visas and Immigration and may terminate a student’s registration without following the formal warning procedure.</w:t>
            </w:r>
          </w:p>
        </w:tc>
        <w:tc>
          <w:tcPr>
            <w:tcW w:w="1276" w:type="dxa"/>
          </w:tcPr>
          <w:p w:rsidRPr="00B148E9" w:rsidR="009538C5" w:rsidP="00B148E9" w:rsidRDefault="00E01418">
            <w:pPr>
              <w:spacing w:before="120" w:after="120"/>
              <w:jc w:val="center"/>
              <w:rPr>
                <w:rFonts w:ascii="Corbel" w:hAnsi="Corbel"/>
              </w:rPr>
            </w:pPr>
            <w:r w:rsidRPr="00B148E9">
              <w:rPr>
                <w:rFonts w:ascii="Corbel" w:hAnsi="Corbel"/>
              </w:rPr>
              <w:t>14 and 14-15</w:t>
            </w:r>
          </w:p>
          <w:p w:rsidRPr="00B148E9" w:rsidR="00E01418" w:rsidP="00B148E9" w:rsidRDefault="00E01418">
            <w:pPr>
              <w:spacing w:before="120" w:after="120"/>
              <w:jc w:val="center"/>
              <w:rPr>
                <w:rFonts w:ascii="Corbel" w:hAnsi="Corbel"/>
              </w:rPr>
            </w:pPr>
          </w:p>
        </w:tc>
      </w:tr>
    </w:tbl>
    <w:p w:rsidRPr="00B148E9" w:rsidR="003C7E74" w:rsidP="00B148E9" w:rsidRDefault="003C7E74">
      <w:pPr>
        <w:spacing w:before="120" w:after="120" w:line="240" w:lineRule="auto"/>
        <w:rPr>
          <w:rFonts w:ascii="Corbel" w:hAnsi="Corbel"/>
        </w:rPr>
      </w:pPr>
    </w:p>
    <w:sectPr w:rsidRPr="00B148E9" w:rsidR="003C7E74" w:rsidSect="00CE52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CE" w:rsidRDefault="006D21CE" w:rsidP="006D21CE">
      <w:pPr>
        <w:spacing w:after="0" w:line="240" w:lineRule="auto"/>
      </w:pPr>
      <w:r>
        <w:separator/>
      </w:r>
    </w:p>
  </w:endnote>
  <w:endnote w:type="continuationSeparator" w:id="0">
    <w:p w:rsidR="006D21CE" w:rsidRDefault="006D21CE" w:rsidP="006D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79090"/>
      <w:docPartObj>
        <w:docPartGallery w:val="Page Numbers (Bottom of Page)"/>
        <w:docPartUnique/>
      </w:docPartObj>
    </w:sdtPr>
    <w:sdtEndPr>
      <w:rPr>
        <w:rFonts w:ascii="Corbel" w:hAnsi="Corbel"/>
        <w:b/>
        <w:noProof/>
      </w:rPr>
    </w:sdtEndPr>
    <w:sdtContent>
      <w:p w:rsidR="00AE3171" w:rsidRPr="00CD318D" w:rsidRDefault="00AE3171">
        <w:pPr>
          <w:pStyle w:val="Footer"/>
          <w:jc w:val="right"/>
          <w:rPr>
            <w:rFonts w:ascii="Corbel" w:hAnsi="Corbel"/>
            <w:b/>
          </w:rPr>
        </w:pPr>
        <w:r w:rsidRPr="00CD318D">
          <w:rPr>
            <w:rFonts w:ascii="Corbel" w:hAnsi="Corbel"/>
            <w:b/>
          </w:rPr>
          <w:t>Summary of changes – Postgraduate Taught Regulations</w:t>
        </w:r>
        <w:r w:rsidR="00CD318D" w:rsidRPr="00CD318D">
          <w:rPr>
            <w:rFonts w:ascii="Corbel" w:hAnsi="Corbel"/>
            <w:b/>
          </w:rPr>
          <w:t xml:space="preserve"> 2016/17</w:t>
        </w:r>
      </w:p>
      <w:p w:rsidR="006D21CE" w:rsidRPr="00CD318D" w:rsidRDefault="00EA5D27">
        <w:pPr>
          <w:pStyle w:val="Footer"/>
          <w:jc w:val="right"/>
          <w:rPr>
            <w:rFonts w:ascii="Corbel" w:hAnsi="Corbel"/>
            <w:b/>
          </w:rPr>
        </w:pPr>
        <w:r w:rsidRPr="00CD318D">
          <w:rPr>
            <w:rFonts w:ascii="Corbel" w:hAnsi="Corbel"/>
            <w:b/>
          </w:rPr>
          <w:fldChar w:fldCharType="begin"/>
        </w:r>
        <w:r w:rsidR="006D21CE" w:rsidRPr="00CD318D">
          <w:rPr>
            <w:rFonts w:ascii="Corbel" w:hAnsi="Corbel"/>
            <w:b/>
          </w:rPr>
          <w:instrText xml:space="preserve"> PAGE   \* MERGEFORMAT </w:instrText>
        </w:r>
        <w:r w:rsidRPr="00CD318D">
          <w:rPr>
            <w:rFonts w:ascii="Corbel" w:hAnsi="Corbel"/>
            <w:b/>
          </w:rPr>
          <w:fldChar w:fldCharType="separate"/>
        </w:r>
        <w:r w:rsidR="00435950">
          <w:rPr>
            <w:rFonts w:ascii="Corbel" w:hAnsi="Corbel"/>
            <w:b/>
            <w:noProof/>
          </w:rPr>
          <w:t>3</w:t>
        </w:r>
        <w:r w:rsidRPr="00CD318D">
          <w:rPr>
            <w:rFonts w:ascii="Corbel" w:hAnsi="Corbel"/>
            <w:b/>
            <w:noProof/>
          </w:rPr>
          <w:fldChar w:fldCharType="end"/>
        </w:r>
      </w:p>
    </w:sdtContent>
  </w:sdt>
  <w:p w:rsidR="006D21CE" w:rsidRPr="00CD318D" w:rsidRDefault="006D21CE">
    <w:pPr>
      <w:pStyle w:val="Footer"/>
      <w:rPr>
        <w:rFonts w:ascii="Corbel" w:hAnsi="Corbe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CE" w:rsidRDefault="006D21CE" w:rsidP="006D21CE">
      <w:pPr>
        <w:spacing w:after="0" w:line="240" w:lineRule="auto"/>
      </w:pPr>
      <w:r>
        <w:separator/>
      </w:r>
    </w:p>
  </w:footnote>
  <w:footnote w:type="continuationSeparator" w:id="0">
    <w:p w:rsidR="006D21CE" w:rsidRDefault="006D21CE" w:rsidP="006D2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2457"/>
    <w:multiLevelType w:val="hybridMultilevel"/>
    <w:tmpl w:val="AC28F24E"/>
    <w:lvl w:ilvl="0" w:tplc="225C83F8">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B5E1D"/>
    <w:multiLevelType w:val="hybridMultilevel"/>
    <w:tmpl w:val="36FA6D08"/>
    <w:lvl w:ilvl="0" w:tplc="ED1C0040">
      <w:start w:val="1"/>
      <w:numFmt w:val="decimal"/>
      <w:lvlText w:val="(%1)"/>
      <w:lvlJc w:val="left"/>
      <w:pPr>
        <w:ind w:left="1077" w:hanging="360"/>
      </w:pPr>
      <w:rPr>
        <w:rFonts w:hint="default"/>
      </w:rPr>
    </w:lvl>
    <w:lvl w:ilvl="1" w:tplc="29004E20">
      <w:start w:val="1"/>
      <w:numFmt w:val="lowerLetter"/>
      <w:lvlText w:val="(%2)"/>
      <w:lvlJc w:val="left"/>
      <w:pPr>
        <w:ind w:left="1797" w:hanging="360"/>
      </w:pPr>
      <w:rPr>
        <w:rFonts w:ascii="Corbel" w:eastAsia="Times New Roman" w:hAnsi="Corbel" w:cs="Times New Roman"/>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F275E48"/>
    <w:multiLevelType w:val="hybridMultilevel"/>
    <w:tmpl w:val="A658FEDE"/>
    <w:lvl w:ilvl="0" w:tplc="24AC4348">
      <w:start w:val="5"/>
      <w:numFmt w:val="decimal"/>
      <w:lvlText w:val="(%1)"/>
      <w:lvlJc w:val="left"/>
      <w:pPr>
        <w:ind w:left="720" w:hanging="360"/>
      </w:pPr>
      <w:rPr>
        <w:rFonts w:cs="Century Gothi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D6431"/>
    <w:multiLevelType w:val="hybridMultilevel"/>
    <w:tmpl w:val="C592EBF2"/>
    <w:lvl w:ilvl="0" w:tplc="DA50D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11FC4"/>
    <w:multiLevelType w:val="hybridMultilevel"/>
    <w:tmpl w:val="C7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42010"/>
    <w:multiLevelType w:val="hybridMultilevel"/>
    <w:tmpl w:val="935EE530"/>
    <w:lvl w:ilvl="0" w:tplc="0F8602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26DD0"/>
    <w:multiLevelType w:val="hybridMultilevel"/>
    <w:tmpl w:val="DCEA9A72"/>
    <w:lvl w:ilvl="0" w:tplc="ED1C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B21B2"/>
    <w:multiLevelType w:val="hybridMultilevel"/>
    <w:tmpl w:val="930EEEE8"/>
    <w:lvl w:ilvl="0" w:tplc="61A449E0">
      <w:start w:val="7"/>
      <w:numFmt w:val="lowerLetter"/>
      <w:lvlText w:val="(%1)"/>
      <w:lvlJc w:val="left"/>
      <w:pPr>
        <w:ind w:left="717" w:hanging="360"/>
      </w:pPr>
      <w:rPr>
        <w:rFonts w:hint="default"/>
        <w:b/>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51656330"/>
    <w:multiLevelType w:val="hybridMultilevel"/>
    <w:tmpl w:val="5DD65260"/>
    <w:lvl w:ilvl="0" w:tplc="6BF622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E547EF"/>
    <w:multiLevelType w:val="hybridMultilevel"/>
    <w:tmpl w:val="B07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46C35"/>
    <w:multiLevelType w:val="hybridMultilevel"/>
    <w:tmpl w:val="F6780368"/>
    <w:lvl w:ilvl="0" w:tplc="283AADE8">
      <w:start w:val="1"/>
      <w:numFmt w:val="decimal"/>
      <w:lvlText w:val="(%1)"/>
      <w:lvlJc w:val="left"/>
      <w:pPr>
        <w:ind w:left="1077" w:hanging="360"/>
      </w:pPr>
      <w:rPr>
        <w:rFonts w:hint="default"/>
        <w:b w:val="0"/>
      </w:rPr>
    </w:lvl>
    <w:lvl w:ilvl="1" w:tplc="1D28E3F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744AD"/>
    <w:multiLevelType w:val="hybridMultilevel"/>
    <w:tmpl w:val="657EF9F8"/>
    <w:lvl w:ilvl="0" w:tplc="B3F2C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6"/>
  </w:num>
  <w:num w:numId="5">
    <w:abstractNumId w:val="5"/>
  </w:num>
  <w:num w:numId="6">
    <w:abstractNumId w:val="13"/>
  </w:num>
  <w:num w:numId="7">
    <w:abstractNumId w:val="9"/>
  </w:num>
  <w:num w:numId="8">
    <w:abstractNumId w:val="1"/>
  </w:num>
  <w:num w:numId="9">
    <w:abstractNumId w:val="12"/>
  </w:num>
  <w:num w:numId="10">
    <w:abstractNumId w:val="17"/>
  </w:num>
  <w:num w:numId="11">
    <w:abstractNumId w:val="8"/>
  </w:num>
  <w:num w:numId="12">
    <w:abstractNumId w:val="10"/>
  </w:num>
  <w:num w:numId="13">
    <w:abstractNumId w:val="15"/>
  </w:num>
  <w:num w:numId="14">
    <w:abstractNumId w:val="3"/>
  </w:num>
  <w:num w:numId="15">
    <w:abstractNumId w:val="2"/>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BC3"/>
    <w:rsid w:val="0003602E"/>
    <w:rsid w:val="00041A2F"/>
    <w:rsid w:val="000901DA"/>
    <w:rsid w:val="00185D54"/>
    <w:rsid w:val="001B4BC7"/>
    <w:rsid w:val="001B7EEF"/>
    <w:rsid w:val="001C1FF7"/>
    <w:rsid w:val="001D1AB2"/>
    <w:rsid w:val="00245B87"/>
    <w:rsid w:val="00294784"/>
    <w:rsid w:val="002C5EC1"/>
    <w:rsid w:val="002E1E80"/>
    <w:rsid w:val="003370DD"/>
    <w:rsid w:val="003C7E74"/>
    <w:rsid w:val="004056DF"/>
    <w:rsid w:val="0041099F"/>
    <w:rsid w:val="00435950"/>
    <w:rsid w:val="004C6024"/>
    <w:rsid w:val="00504C17"/>
    <w:rsid w:val="005D2B00"/>
    <w:rsid w:val="0060364A"/>
    <w:rsid w:val="006455D9"/>
    <w:rsid w:val="00672358"/>
    <w:rsid w:val="00696405"/>
    <w:rsid w:val="006D21CE"/>
    <w:rsid w:val="006F4C81"/>
    <w:rsid w:val="00726C91"/>
    <w:rsid w:val="00766615"/>
    <w:rsid w:val="007A31B3"/>
    <w:rsid w:val="007C1BC3"/>
    <w:rsid w:val="007E68C9"/>
    <w:rsid w:val="00822A23"/>
    <w:rsid w:val="0083346C"/>
    <w:rsid w:val="00887037"/>
    <w:rsid w:val="008A2DC1"/>
    <w:rsid w:val="008D38DA"/>
    <w:rsid w:val="00943EE4"/>
    <w:rsid w:val="009538C5"/>
    <w:rsid w:val="0098046C"/>
    <w:rsid w:val="009B25C0"/>
    <w:rsid w:val="009C3547"/>
    <w:rsid w:val="009E5087"/>
    <w:rsid w:val="009F4A63"/>
    <w:rsid w:val="00A359C6"/>
    <w:rsid w:val="00A74903"/>
    <w:rsid w:val="00AE3171"/>
    <w:rsid w:val="00B0129A"/>
    <w:rsid w:val="00B148E9"/>
    <w:rsid w:val="00B24F82"/>
    <w:rsid w:val="00B71BD9"/>
    <w:rsid w:val="00BF5717"/>
    <w:rsid w:val="00C45F18"/>
    <w:rsid w:val="00C833B7"/>
    <w:rsid w:val="00CA658D"/>
    <w:rsid w:val="00CD318D"/>
    <w:rsid w:val="00CE52F2"/>
    <w:rsid w:val="00CF3FD0"/>
    <w:rsid w:val="00D31FCB"/>
    <w:rsid w:val="00D43A5A"/>
    <w:rsid w:val="00DD1DE7"/>
    <w:rsid w:val="00DF1E7D"/>
    <w:rsid w:val="00E01418"/>
    <w:rsid w:val="00E20106"/>
    <w:rsid w:val="00E229ED"/>
    <w:rsid w:val="00EA5D27"/>
    <w:rsid w:val="00EA68B3"/>
    <w:rsid w:val="00EB2C1F"/>
    <w:rsid w:val="00F3611C"/>
    <w:rsid w:val="00F64FA8"/>
    <w:rsid w:val="00F74ACC"/>
    <w:rsid w:val="00F9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E9574-646D-4D4B-A0E9-DC4495DB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63"/>
    <w:pPr>
      <w:ind w:left="720"/>
      <w:contextualSpacing/>
    </w:pPr>
  </w:style>
  <w:style w:type="paragraph" w:styleId="BalloonText">
    <w:name w:val="Balloon Text"/>
    <w:basedOn w:val="Normal"/>
    <w:link w:val="BalloonTextChar"/>
    <w:uiPriority w:val="99"/>
    <w:semiHidden/>
    <w:unhideWhenUsed/>
    <w:rsid w:val="001B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F"/>
    <w:rPr>
      <w:rFonts w:ascii="Tahoma" w:hAnsi="Tahoma" w:cs="Tahoma"/>
      <w:sz w:val="16"/>
      <w:szCs w:val="16"/>
    </w:rPr>
  </w:style>
  <w:style w:type="paragraph" w:styleId="Header">
    <w:name w:val="header"/>
    <w:basedOn w:val="Normal"/>
    <w:link w:val="HeaderChar"/>
    <w:uiPriority w:val="99"/>
    <w:unhideWhenUsed/>
    <w:rsid w:val="006D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CE"/>
  </w:style>
  <w:style w:type="paragraph" w:styleId="Footer">
    <w:name w:val="footer"/>
    <w:basedOn w:val="Normal"/>
    <w:link w:val="FooterChar"/>
    <w:uiPriority w:val="99"/>
    <w:unhideWhenUsed/>
    <w:rsid w:val="006D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CE"/>
  </w:style>
  <w:style w:type="paragraph" w:customStyle="1" w:styleId="Default">
    <w:name w:val="Default"/>
    <w:basedOn w:val="Normal"/>
    <w:rsid w:val="007E68C9"/>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John Hill</cp:lastModifiedBy>
  <cp:revision>16</cp:revision>
  <cp:lastPrinted>2016-07-05T07:57:00Z</cp:lastPrinted>
  <dcterms:created xsi:type="dcterms:W3CDTF">2016-06-06T08:22:00Z</dcterms:created>
  <dcterms:modified xsi:type="dcterms:W3CDTF">2016-08-03T07:28:40Z</dcterms:modified>
  <dc:title>Summary of regulatory changes - PGT - 2016-17</dc:title>
  <cp:keywords>
  </cp:keywords>
  <dc:subject>
  </dc:subject>
</cp:coreProperties>
</file>