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5F" w:rsidRDefault="00EC4F5F" w:rsidP="001117E9">
      <w:pPr>
        <w:pStyle w:val="Heading2"/>
        <w:jc w:val="center"/>
        <w:rPr>
          <w:rFonts w:ascii="Century Gothic" w:hAnsi="Century Gothic"/>
          <w:sz w:val="22"/>
          <w:szCs w:val="22"/>
        </w:rPr>
      </w:pPr>
      <w:r w:rsidRPr="00345CC7">
        <w:rPr>
          <w:rFonts w:ascii="Century Gothic" w:hAnsi="Century Gothic"/>
          <w:sz w:val="22"/>
          <w:szCs w:val="22"/>
        </w:rPr>
        <w:t xml:space="preserve">Guidance notes for staff </w:t>
      </w:r>
    </w:p>
    <w:p w:rsidR="001117E9" w:rsidRPr="00345CC7" w:rsidRDefault="00FE7210" w:rsidP="001117E9">
      <w:pPr>
        <w:pStyle w:val="Heading2"/>
        <w:jc w:val="center"/>
        <w:rPr>
          <w:rFonts w:ascii="Century Gothic" w:hAnsi="Century Gothic"/>
          <w:sz w:val="22"/>
          <w:szCs w:val="22"/>
        </w:rPr>
      </w:pPr>
      <w:r w:rsidRPr="00345CC7">
        <w:rPr>
          <w:rFonts w:ascii="Century Gothic" w:hAnsi="Century Gothic"/>
          <w:sz w:val="22"/>
          <w:szCs w:val="22"/>
        </w:rPr>
        <w:t xml:space="preserve">Extensions for MPhil/ PhD submissions and interruptions </w:t>
      </w:r>
    </w:p>
    <w:p w:rsidR="001117E9" w:rsidRPr="00345CC7" w:rsidRDefault="001117E9" w:rsidP="001117E9">
      <w:pPr>
        <w:rPr>
          <w:rFonts w:ascii="Century Gothic" w:hAnsi="Century Gothic"/>
          <w:sz w:val="22"/>
          <w:szCs w:val="22"/>
        </w:rPr>
      </w:pPr>
    </w:p>
    <w:p w:rsidR="001117E9" w:rsidRPr="00345CC7" w:rsidRDefault="00FE7210" w:rsidP="001117E9">
      <w:pPr>
        <w:pStyle w:val="Heading2"/>
        <w:jc w:val="both"/>
        <w:rPr>
          <w:rFonts w:ascii="Century Gothic" w:hAnsi="Century Gothic"/>
          <w:sz w:val="22"/>
          <w:szCs w:val="22"/>
        </w:rPr>
      </w:pPr>
      <w:r w:rsidRPr="00345CC7">
        <w:rPr>
          <w:rFonts w:ascii="Century Gothic" w:hAnsi="Century Gothic"/>
          <w:sz w:val="22"/>
          <w:szCs w:val="22"/>
        </w:rPr>
        <w:tab/>
      </w:r>
    </w:p>
    <w:p w:rsidR="001117E9" w:rsidRPr="00345CC7" w:rsidRDefault="00FE7210" w:rsidP="001117E9">
      <w:pPr>
        <w:pStyle w:val="Heading2"/>
        <w:jc w:val="both"/>
        <w:rPr>
          <w:rFonts w:ascii="Century Gothic" w:hAnsi="Century Gothic"/>
          <w:sz w:val="22"/>
          <w:szCs w:val="22"/>
        </w:rPr>
      </w:pPr>
      <w:r w:rsidRPr="00345CC7">
        <w:rPr>
          <w:rFonts w:ascii="Century Gothic" w:hAnsi="Century Gothic"/>
          <w:sz w:val="22"/>
          <w:szCs w:val="22"/>
        </w:rPr>
        <w:t>Interruptions</w:t>
      </w:r>
      <w:bookmarkStart w:id="0" w:name="insertpoint"/>
      <w:bookmarkEnd w:id="0"/>
    </w:p>
    <w:p w:rsidR="001117E9" w:rsidRPr="002D6E60" w:rsidRDefault="00FE7210" w:rsidP="001117E9">
      <w:pPr>
        <w:pStyle w:val="Heading2"/>
        <w:numPr>
          <w:ilvl w:val="0"/>
          <w:numId w:val="26"/>
        </w:numPr>
        <w:ind w:hanging="720"/>
        <w:jc w:val="both"/>
        <w:rPr>
          <w:rFonts w:ascii="Century Gothic" w:hAnsi="Century Gothic"/>
          <w:b w:val="0"/>
          <w:sz w:val="22"/>
          <w:szCs w:val="22"/>
        </w:rPr>
      </w:pPr>
      <w:r w:rsidRPr="00345CC7">
        <w:rPr>
          <w:rFonts w:ascii="Century Gothic" w:hAnsi="Century Gothic"/>
          <w:b w:val="0"/>
          <w:sz w:val="22"/>
          <w:szCs w:val="22"/>
        </w:rPr>
        <w:t xml:space="preserve">The College’s </w:t>
      </w:r>
      <w:r w:rsidRPr="00345CC7">
        <w:rPr>
          <w:rFonts w:ascii="Century Gothic" w:hAnsi="Century Gothic"/>
          <w:b w:val="0"/>
          <w:i/>
          <w:sz w:val="22"/>
          <w:szCs w:val="22"/>
        </w:rPr>
        <w:t>Research Degree Regulations</w:t>
      </w:r>
      <w:r w:rsidRPr="00345CC7">
        <w:rPr>
          <w:rFonts w:ascii="Century Gothic" w:hAnsi="Century Gothic"/>
          <w:b w:val="0"/>
          <w:sz w:val="22"/>
          <w:szCs w:val="22"/>
        </w:rPr>
        <w:t xml:space="preserve"> (Section 5) permit students to interrupt up to a maximum of two years of study on financial, health and personal grounds if supported by </w:t>
      </w:r>
      <w:r w:rsidR="0055499F" w:rsidRPr="0055499F">
        <w:rPr>
          <w:rFonts w:ascii="Century Gothic" w:hAnsi="Century Gothic"/>
          <w:sz w:val="22"/>
          <w:szCs w:val="22"/>
        </w:rPr>
        <w:t>appropriate supporting documentation</w:t>
      </w:r>
      <w:r w:rsidRPr="00345CC7">
        <w:rPr>
          <w:rFonts w:ascii="Century Gothic" w:hAnsi="Century Gothic"/>
          <w:b w:val="0"/>
          <w:sz w:val="22"/>
          <w:szCs w:val="22"/>
        </w:rPr>
        <w:t xml:space="preserve">.  </w:t>
      </w:r>
      <w:r w:rsidR="00073BF0">
        <w:rPr>
          <w:rFonts w:ascii="Century Gothic" w:hAnsi="Century Gothic"/>
          <w:b w:val="0"/>
          <w:sz w:val="22"/>
          <w:szCs w:val="22"/>
        </w:rPr>
        <w:t xml:space="preserve">With effect from </w:t>
      </w:r>
      <w:r w:rsidR="00073BF0" w:rsidRPr="00EC4F5F">
        <w:rPr>
          <w:rFonts w:ascii="Century Gothic" w:hAnsi="Century Gothic"/>
          <w:b w:val="0"/>
          <w:color w:val="FF0000"/>
          <w:sz w:val="22"/>
          <w:szCs w:val="22"/>
        </w:rPr>
        <w:t>1 February 2013</w:t>
      </w:r>
      <w:r w:rsidR="00073BF0">
        <w:rPr>
          <w:rFonts w:ascii="Century Gothic" w:hAnsi="Century Gothic"/>
          <w:b w:val="0"/>
          <w:sz w:val="22"/>
          <w:szCs w:val="22"/>
        </w:rPr>
        <w:t xml:space="preserve"> a</w:t>
      </w:r>
      <w:r>
        <w:rPr>
          <w:rFonts w:ascii="Century Gothic" w:hAnsi="Century Gothic"/>
          <w:b w:val="0"/>
          <w:sz w:val="22"/>
          <w:szCs w:val="22"/>
        </w:rPr>
        <w:t xml:space="preserve">ll requests for </w:t>
      </w:r>
      <w:r w:rsidRPr="00345CC7">
        <w:rPr>
          <w:rFonts w:ascii="Century Gothic" w:hAnsi="Century Gothic"/>
          <w:b w:val="0"/>
          <w:sz w:val="22"/>
          <w:szCs w:val="22"/>
        </w:rPr>
        <w:t xml:space="preserve">interruptions of study </w:t>
      </w:r>
      <w:r w:rsidR="00073BF0">
        <w:rPr>
          <w:rFonts w:ascii="Century Gothic" w:hAnsi="Century Gothic"/>
          <w:b w:val="0"/>
          <w:sz w:val="22"/>
          <w:szCs w:val="22"/>
        </w:rPr>
        <w:t xml:space="preserve">irrespective of year of study </w:t>
      </w:r>
      <w:r w:rsidR="0062745B">
        <w:rPr>
          <w:rFonts w:ascii="Century Gothic" w:hAnsi="Century Gothic"/>
          <w:b w:val="0"/>
          <w:sz w:val="22"/>
          <w:szCs w:val="22"/>
        </w:rPr>
        <w:t xml:space="preserve">should be </w:t>
      </w:r>
      <w:r w:rsidR="00073BF0">
        <w:rPr>
          <w:rFonts w:ascii="Century Gothic" w:hAnsi="Century Gothic"/>
          <w:b w:val="0"/>
          <w:sz w:val="22"/>
          <w:szCs w:val="22"/>
        </w:rPr>
        <w:t>submitted v</w:t>
      </w:r>
      <w:r w:rsidR="0062745B">
        <w:rPr>
          <w:rFonts w:ascii="Century Gothic" w:hAnsi="Century Gothic"/>
          <w:b w:val="0"/>
          <w:sz w:val="22"/>
          <w:szCs w:val="22"/>
        </w:rPr>
        <w:t xml:space="preserve">ia the </w:t>
      </w:r>
      <w:hyperlink r:id="rId7" w:history="1">
        <w:r w:rsidR="008972A6" w:rsidRPr="0000644B">
          <w:rPr>
            <w:rStyle w:val="Hyperlink"/>
            <w:rFonts w:ascii="Century Gothic" w:hAnsi="Century Gothic"/>
            <w:b w:val="0"/>
            <w:sz w:val="22"/>
            <w:szCs w:val="22"/>
          </w:rPr>
          <w:t>Online PGR Request Form</w:t>
        </w:r>
      </w:hyperlink>
      <w:r w:rsidR="001117E9">
        <w:rPr>
          <w:rFonts w:ascii="Century Gothic" w:hAnsi="Century Gothic"/>
          <w:b w:val="0"/>
          <w:sz w:val="22"/>
          <w:szCs w:val="22"/>
        </w:rPr>
        <w:t xml:space="preserve">. </w:t>
      </w:r>
      <w:r w:rsidR="00073BF0">
        <w:rPr>
          <w:rFonts w:ascii="Century Gothic" w:hAnsi="Century Gothic"/>
          <w:b w:val="0"/>
          <w:sz w:val="22"/>
          <w:szCs w:val="22"/>
        </w:rPr>
        <w:t xml:space="preserve"> </w:t>
      </w:r>
      <w:r w:rsidR="001117E9">
        <w:rPr>
          <w:rFonts w:ascii="Century Gothic" w:hAnsi="Century Gothic"/>
          <w:b w:val="0"/>
          <w:sz w:val="22"/>
          <w:szCs w:val="22"/>
        </w:rPr>
        <w:t xml:space="preserve">Before filling in this </w:t>
      </w:r>
      <w:r w:rsidR="003A13E5">
        <w:rPr>
          <w:rFonts w:ascii="Century Gothic" w:hAnsi="Century Gothic"/>
          <w:b w:val="0"/>
          <w:sz w:val="22"/>
          <w:szCs w:val="22"/>
        </w:rPr>
        <w:t xml:space="preserve">online </w:t>
      </w:r>
      <w:r w:rsidR="001117E9">
        <w:rPr>
          <w:rFonts w:ascii="Century Gothic" w:hAnsi="Century Gothic"/>
          <w:b w:val="0"/>
          <w:sz w:val="22"/>
          <w:szCs w:val="22"/>
        </w:rPr>
        <w:t>form departments should ensure that the</w:t>
      </w:r>
      <w:r w:rsidR="00EC4F5F">
        <w:rPr>
          <w:rFonts w:ascii="Century Gothic" w:hAnsi="Century Gothic"/>
          <w:b w:val="0"/>
          <w:sz w:val="22"/>
          <w:szCs w:val="22"/>
        </w:rPr>
        <w:t xml:space="preserve"> </w:t>
      </w:r>
      <w:hyperlink r:id="rId8" w:history="1">
        <w:r w:rsidR="00EC4F5F" w:rsidRPr="00A22811">
          <w:rPr>
            <w:rStyle w:val="Hyperlink"/>
            <w:rFonts w:ascii="Century Gothic" w:hAnsi="Century Gothic"/>
            <w:b w:val="0"/>
            <w:sz w:val="22"/>
            <w:szCs w:val="22"/>
          </w:rPr>
          <w:t>Extension/ Interruption of Studies Request Form</w:t>
        </w:r>
        <w:r w:rsidR="001117E9" w:rsidRPr="00A22811">
          <w:rPr>
            <w:rStyle w:val="Hyperlink"/>
            <w:rFonts w:ascii="Century Gothic" w:hAnsi="Century Gothic"/>
            <w:b w:val="0"/>
            <w:sz w:val="22"/>
            <w:szCs w:val="22"/>
          </w:rPr>
          <w:t xml:space="preserve"> </w:t>
        </w:r>
      </w:hyperlink>
      <w:r w:rsidR="001117E9">
        <w:rPr>
          <w:rFonts w:ascii="Century Gothic" w:hAnsi="Century Gothic"/>
          <w:b w:val="0"/>
          <w:sz w:val="22"/>
          <w:szCs w:val="22"/>
        </w:rPr>
        <w:t xml:space="preserve"> is filled in and signed. </w:t>
      </w:r>
      <w:r w:rsidR="00EC4F5F">
        <w:rPr>
          <w:rFonts w:ascii="Century Gothic" w:hAnsi="Century Gothic"/>
          <w:b w:val="0"/>
          <w:sz w:val="22"/>
          <w:szCs w:val="22"/>
        </w:rPr>
        <w:t xml:space="preserve"> </w:t>
      </w:r>
      <w:r w:rsidR="001117E9">
        <w:rPr>
          <w:rFonts w:ascii="Century Gothic" w:hAnsi="Century Gothic"/>
          <w:b w:val="0"/>
          <w:sz w:val="22"/>
          <w:szCs w:val="22"/>
        </w:rPr>
        <w:t>The completed form plus s</w:t>
      </w:r>
      <w:r w:rsidR="00073BF0">
        <w:rPr>
          <w:rFonts w:ascii="Century Gothic" w:hAnsi="Century Gothic"/>
          <w:b w:val="0"/>
          <w:sz w:val="22"/>
          <w:szCs w:val="22"/>
        </w:rPr>
        <w:t xml:space="preserve">upporting documentation </w:t>
      </w:r>
      <w:r w:rsidR="001117E9">
        <w:rPr>
          <w:rFonts w:ascii="Century Gothic" w:hAnsi="Century Gothic"/>
          <w:b w:val="0"/>
          <w:sz w:val="22"/>
          <w:szCs w:val="22"/>
        </w:rPr>
        <w:t xml:space="preserve">need to </w:t>
      </w:r>
      <w:r w:rsidR="00EC4F5F">
        <w:rPr>
          <w:rFonts w:ascii="Century Gothic" w:hAnsi="Century Gothic"/>
          <w:b w:val="0"/>
          <w:sz w:val="22"/>
          <w:szCs w:val="22"/>
        </w:rPr>
        <w:t>be uploaded when the online form is filled in.</w:t>
      </w:r>
      <w:r w:rsidR="003A13E5">
        <w:rPr>
          <w:rFonts w:ascii="Century Gothic" w:hAnsi="Century Gothic"/>
          <w:b w:val="0"/>
          <w:sz w:val="22"/>
          <w:szCs w:val="22"/>
        </w:rPr>
        <w:t xml:space="preserve"> </w:t>
      </w:r>
      <w:r w:rsidRPr="00345CC7">
        <w:rPr>
          <w:rFonts w:ascii="Century Gothic" w:hAnsi="Century Gothic"/>
          <w:b w:val="0"/>
          <w:sz w:val="22"/>
          <w:szCs w:val="22"/>
        </w:rPr>
        <w:t xml:space="preserve"> </w:t>
      </w:r>
    </w:p>
    <w:p w:rsidR="001117E9" w:rsidRDefault="001117E9" w:rsidP="001117E9">
      <w:pPr>
        <w:ind w:hanging="720"/>
        <w:jc w:val="both"/>
        <w:rPr>
          <w:rFonts w:ascii="Century Gothic" w:hAnsi="Century Gothic"/>
          <w:sz w:val="22"/>
          <w:szCs w:val="22"/>
        </w:rPr>
      </w:pPr>
    </w:p>
    <w:p w:rsidR="0055499F" w:rsidRDefault="00FE7210" w:rsidP="001117E9">
      <w:pPr>
        <w:numPr>
          <w:ilvl w:val="0"/>
          <w:numId w:val="26"/>
        </w:numPr>
        <w:ind w:hanging="720"/>
        <w:jc w:val="both"/>
        <w:rPr>
          <w:rFonts w:ascii="Century Gothic" w:hAnsi="Century Gothic"/>
          <w:sz w:val="22"/>
          <w:szCs w:val="22"/>
        </w:rPr>
      </w:pPr>
      <w:r w:rsidRPr="00345CC7">
        <w:rPr>
          <w:rFonts w:ascii="Century Gothic" w:hAnsi="Century Gothic"/>
          <w:sz w:val="22"/>
          <w:szCs w:val="22"/>
        </w:rPr>
        <w:t xml:space="preserve">In the writing-up year interruptions will only be permitted for long term/ serious extenuating circumstances where these are such that the student is unable to undertake work at all. This will enable the College to approve interruptions should there be serious illness (e.g. cancer, heart attack, difficult pregnancy). Any other illnesses, temporary problems, e.g. death of parent, will be dealt with by an extension, which is in line with practice at other HEIs.  </w:t>
      </w:r>
      <w:r w:rsidRPr="00FE7210">
        <w:rPr>
          <w:rFonts w:ascii="Century Gothic" w:hAnsi="Century Gothic"/>
          <w:b/>
          <w:bCs/>
          <w:sz w:val="22"/>
          <w:szCs w:val="22"/>
        </w:rPr>
        <w:t xml:space="preserve"> </w:t>
      </w:r>
    </w:p>
    <w:p w:rsidR="001117E9" w:rsidRDefault="00FE7210" w:rsidP="001117E9">
      <w:pPr>
        <w:pStyle w:val="Heading1"/>
        <w:jc w:val="both"/>
        <w:rPr>
          <w:rFonts w:ascii="Century Gothic" w:hAnsi="Century Gothic"/>
          <w:sz w:val="22"/>
          <w:szCs w:val="22"/>
        </w:rPr>
      </w:pPr>
      <w:r w:rsidRPr="0062745B">
        <w:rPr>
          <w:rFonts w:ascii="Century Gothic" w:hAnsi="Century Gothic"/>
          <w:sz w:val="22"/>
          <w:szCs w:val="22"/>
        </w:rPr>
        <w:tab/>
      </w:r>
    </w:p>
    <w:p w:rsidR="001117E9" w:rsidRPr="0062745B" w:rsidRDefault="00FE7210" w:rsidP="001117E9">
      <w:pPr>
        <w:pStyle w:val="Heading1"/>
        <w:jc w:val="both"/>
        <w:rPr>
          <w:rFonts w:ascii="Century Gothic" w:hAnsi="Century Gothic"/>
          <w:sz w:val="22"/>
          <w:szCs w:val="22"/>
        </w:rPr>
      </w:pPr>
      <w:r w:rsidRPr="0062745B">
        <w:rPr>
          <w:rFonts w:ascii="Century Gothic" w:hAnsi="Century Gothic"/>
          <w:sz w:val="22"/>
          <w:szCs w:val="22"/>
        </w:rPr>
        <w:t>Extensions</w:t>
      </w:r>
      <w:r>
        <w:rPr>
          <w:rFonts w:ascii="Century Gothic" w:hAnsi="Century Gothic"/>
          <w:sz w:val="22"/>
          <w:szCs w:val="22"/>
        </w:rPr>
        <w:t xml:space="preserve"> to submission deadline</w:t>
      </w:r>
    </w:p>
    <w:p w:rsidR="00EC4F5F" w:rsidRDefault="00882277" w:rsidP="00D254DA">
      <w:pPr>
        <w:pStyle w:val="Heading2"/>
        <w:numPr>
          <w:ilvl w:val="0"/>
          <w:numId w:val="28"/>
        </w:numPr>
        <w:ind w:hanging="720"/>
        <w:jc w:val="both"/>
        <w:rPr>
          <w:rFonts w:ascii="Century Gothic" w:hAnsi="Century Gothic"/>
          <w:b w:val="0"/>
          <w:sz w:val="22"/>
          <w:szCs w:val="22"/>
        </w:rPr>
      </w:pPr>
      <w:r w:rsidRPr="00882277">
        <w:rPr>
          <w:rFonts w:ascii="Century Gothic" w:hAnsi="Century Gothic"/>
          <w:b w:val="0"/>
          <w:sz w:val="22"/>
          <w:szCs w:val="22"/>
        </w:rPr>
        <w:t>If a student’s ability to submit a completed thesis by the submission deadline is affected by circumstances beyond the student’s control, e.g. short-term illness and</w:t>
      </w:r>
      <w:r w:rsidR="0000558E">
        <w:rPr>
          <w:rFonts w:ascii="Century Gothic" w:hAnsi="Century Gothic"/>
          <w:sz w:val="22"/>
          <w:szCs w:val="22"/>
        </w:rPr>
        <w:t xml:space="preserve"> </w:t>
      </w:r>
      <w:r w:rsidR="0055499F" w:rsidRPr="0055499F">
        <w:rPr>
          <w:rFonts w:ascii="Century Gothic" w:hAnsi="Century Gothic"/>
          <w:b w:val="0"/>
          <w:sz w:val="22"/>
          <w:szCs w:val="22"/>
        </w:rPr>
        <w:t>where there is evidence that the student is working on the thesis and meeting deadlines set for the completion of work,</w:t>
      </w:r>
      <w:r w:rsidR="00FE7210" w:rsidRPr="0062745B">
        <w:rPr>
          <w:rFonts w:ascii="Century Gothic" w:hAnsi="Century Gothic"/>
          <w:sz w:val="22"/>
          <w:szCs w:val="22"/>
        </w:rPr>
        <w:t xml:space="preserve"> </w:t>
      </w:r>
      <w:r w:rsidRPr="00882277">
        <w:rPr>
          <w:rFonts w:ascii="Century Gothic" w:hAnsi="Century Gothic"/>
          <w:b w:val="0"/>
          <w:sz w:val="22"/>
          <w:szCs w:val="22"/>
        </w:rPr>
        <w:t xml:space="preserve">the Department must submit a request for an extension via the </w:t>
      </w:r>
      <w:hyperlink r:id="rId9" w:history="1">
        <w:r w:rsidR="0000644B" w:rsidRPr="0000644B">
          <w:rPr>
            <w:rStyle w:val="Hyperlink"/>
            <w:rFonts w:ascii="Century Gothic" w:hAnsi="Century Gothic"/>
            <w:b w:val="0"/>
            <w:sz w:val="22"/>
            <w:szCs w:val="22"/>
          </w:rPr>
          <w:t>Online PGR Request Form</w:t>
        </w:r>
      </w:hyperlink>
      <w:r w:rsidRPr="00882277">
        <w:rPr>
          <w:rFonts w:ascii="Century Gothic" w:hAnsi="Century Gothic" w:cs="MyriadPro-Regular"/>
          <w:b w:val="0"/>
          <w:i/>
          <w:sz w:val="22"/>
          <w:szCs w:val="22"/>
          <w:lang w:eastAsia="en-GB"/>
        </w:rPr>
        <w:t xml:space="preserve">, </w:t>
      </w:r>
      <w:r w:rsidRPr="00882277">
        <w:rPr>
          <w:rFonts w:ascii="Century Gothic" w:hAnsi="Century Gothic"/>
          <w:b w:val="0"/>
          <w:sz w:val="22"/>
          <w:szCs w:val="22"/>
        </w:rPr>
        <w:t xml:space="preserve">normally at least two  months before the submission deadline. </w:t>
      </w:r>
      <w:r w:rsidR="00EC4F5F" w:rsidRPr="008972A6">
        <w:rPr>
          <w:rFonts w:ascii="Century Gothic" w:hAnsi="Century Gothic"/>
          <w:b w:val="0"/>
          <w:sz w:val="22"/>
          <w:szCs w:val="22"/>
        </w:rPr>
        <w:t>Before filling in this</w:t>
      </w:r>
      <w:r w:rsidR="003A13E5" w:rsidRPr="008972A6">
        <w:rPr>
          <w:rFonts w:ascii="Century Gothic" w:hAnsi="Century Gothic"/>
          <w:b w:val="0"/>
          <w:sz w:val="22"/>
          <w:szCs w:val="22"/>
        </w:rPr>
        <w:t xml:space="preserve"> online</w:t>
      </w:r>
      <w:r w:rsidR="00EC4F5F">
        <w:rPr>
          <w:rFonts w:ascii="Century Gothic" w:hAnsi="Century Gothic"/>
          <w:b w:val="0"/>
          <w:sz w:val="22"/>
          <w:szCs w:val="22"/>
        </w:rPr>
        <w:t xml:space="preserve"> form departments should ensure that the </w:t>
      </w:r>
      <w:hyperlink r:id="rId10" w:history="1">
        <w:r w:rsidR="00EC4F5F" w:rsidRPr="00A22811">
          <w:rPr>
            <w:rStyle w:val="Hyperlink"/>
            <w:rFonts w:ascii="Century Gothic" w:hAnsi="Century Gothic"/>
            <w:b w:val="0"/>
            <w:sz w:val="22"/>
            <w:szCs w:val="22"/>
          </w:rPr>
          <w:t>Extension/ Interruption of Studies Request Form</w:t>
        </w:r>
      </w:hyperlink>
      <w:r w:rsidR="00EC4F5F">
        <w:rPr>
          <w:rFonts w:ascii="Century Gothic" w:hAnsi="Century Gothic"/>
          <w:b w:val="0"/>
          <w:sz w:val="22"/>
          <w:szCs w:val="22"/>
        </w:rPr>
        <w:t xml:space="preserve"> is filled in and signed.  The completed form plus supporting documentation need to be uploaded when the online form is filled in.</w:t>
      </w:r>
      <w:r w:rsidR="003A13E5">
        <w:rPr>
          <w:rFonts w:ascii="Century Gothic" w:hAnsi="Century Gothic"/>
          <w:b w:val="0"/>
          <w:sz w:val="22"/>
          <w:szCs w:val="22"/>
        </w:rPr>
        <w:t xml:space="preserve"> </w:t>
      </w:r>
      <w:r w:rsidR="003A13E5" w:rsidRPr="00345CC7">
        <w:rPr>
          <w:rFonts w:ascii="Century Gothic" w:hAnsi="Century Gothic"/>
          <w:b w:val="0"/>
          <w:sz w:val="22"/>
          <w:szCs w:val="22"/>
        </w:rPr>
        <w:t xml:space="preserve"> </w:t>
      </w:r>
    </w:p>
    <w:p w:rsidR="00D254DA" w:rsidRPr="00D254DA" w:rsidRDefault="00D254DA" w:rsidP="00D254DA"/>
    <w:p w:rsidR="00D254DA" w:rsidRDefault="00FE7210" w:rsidP="00D254DA">
      <w:pPr>
        <w:numPr>
          <w:ilvl w:val="0"/>
          <w:numId w:val="28"/>
        </w:numPr>
        <w:ind w:hanging="720"/>
        <w:jc w:val="both"/>
        <w:rPr>
          <w:rFonts w:ascii="Century Gothic" w:hAnsi="Century Gothic"/>
          <w:sz w:val="22"/>
          <w:szCs w:val="22"/>
        </w:rPr>
      </w:pPr>
      <w:r w:rsidRPr="0062745B">
        <w:rPr>
          <w:rFonts w:ascii="Century Gothic" w:hAnsi="Century Gothic"/>
          <w:sz w:val="22"/>
          <w:szCs w:val="22"/>
        </w:rPr>
        <w:t xml:space="preserve">The </w:t>
      </w:r>
      <w:r w:rsidR="0062745B">
        <w:rPr>
          <w:rFonts w:ascii="Century Gothic" w:hAnsi="Century Gothic"/>
          <w:sz w:val="22"/>
          <w:szCs w:val="22"/>
        </w:rPr>
        <w:t>Vice-Principal (Education)</w:t>
      </w:r>
      <w:r w:rsidR="001117E9">
        <w:rPr>
          <w:rFonts w:ascii="Century Gothic" w:hAnsi="Century Gothic"/>
          <w:sz w:val="22"/>
          <w:szCs w:val="22"/>
        </w:rPr>
        <w:t>, as Chair of the College Board of Examiners Executive Committee (CBEEC),</w:t>
      </w:r>
      <w:r w:rsidRPr="0062745B">
        <w:rPr>
          <w:rFonts w:ascii="Century Gothic" w:hAnsi="Century Gothic"/>
          <w:sz w:val="22"/>
          <w:szCs w:val="22"/>
        </w:rPr>
        <w:t xml:space="preserve"> will be r</w:t>
      </w:r>
      <w:r w:rsidRPr="00345CC7">
        <w:rPr>
          <w:rFonts w:ascii="Century Gothic" w:hAnsi="Century Gothic"/>
          <w:sz w:val="22"/>
          <w:szCs w:val="22"/>
        </w:rPr>
        <w:t>esponsible for considering extension requests and making the decision on whether to approve the request in the light of the evidence presented.</w:t>
      </w:r>
      <w:r w:rsidR="001117E9">
        <w:rPr>
          <w:rFonts w:ascii="Century Gothic" w:hAnsi="Century Gothic"/>
          <w:sz w:val="22"/>
          <w:szCs w:val="22"/>
        </w:rPr>
        <w:t xml:space="preserve"> </w:t>
      </w:r>
      <w:r w:rsidRPr="001117E9">
        <w:rPr>
          <w:rFonts w:ascii="Century Gothic" w:hAnsi="Century Gothic"/>
          <w:sz w:val="22"/>
          <w:szCs w:val="22"/>
        </w:rPr>
        <w:t xml:space="preserve">Extensions will normally be for only one period and for a maximum of 6 months in the first instance. If a Research Council has agreed to a longer extension, the </w:t>
      </w:r>
      <w:r w:rsidRPr="00EC4F5F">
        <w:rPr>
          <w:rFonts w:ascii="Century Gothic" w:hAnsi="Century Gothic"/>
          <w:sz w:val="22"/>
          <w:szCs w:val="22"/>
        </w:rPr>
        <w:t>College will approve an extension for the same period.  If the student needs more than 6 months the</w:t>
      </w:r>
      <w:r w:rsidR="0062745B" w:rsidRPr="00EC4F5F">
        <w:rPr>
          <w:rFonts w:ascii="Century Gothic" w:hAnsi="Century Gothic"/>
          <w:sz w:val="22"/>
          <w:szCs w:val="22"/>
        </w:rPr>
        <w:t xml:space="preserve"> Department wi</w:t>
      </w:r>
      <w:r w:rsidRPr="00EC4F5F">
        <w:rPr>
          <w:rFonts w:ascii="Century Gothic" w:hAnsi="Century Gothic"/>
          <w:sz w:val="22"/>
          <w:szCs w:val="22"/>
        </w:rPr>
        <w:t>ll need to re-apply and make a case for another extension, which will only be granted in except</w:t>
      </w:r>
      <w:r w:rsidRPr="00EC4F5F">
        <w:rPr>
          <w:rFonts w:ascii="Century Gothic" w:hAnsi="Century Gothic" w:cs="MyriadPro-Regular"/>
          <w:i/>
          <w:sz w:val="22"/>
          <w:szCs w:val="22"/>
          <w:lang w:eastAsia="en-GB"/>
        </w:rPr>
        <w:t>io</w:t>
      </w:r>
      <w:r w:rsidRPr="00EC4F5F">
        <w:rPr>
          <w:rFonts w:ascii="Century Gothic" w:hAnsi="Century Gothic"/>
          <w:sz w:val="22"/>
          <w:szCs w:val="22"/>
        </w:rPr>
        <w:t xml:space="preserve">nal cases up to another six months giving a total of one year’s extension. </w:t>
      </w:r>
    </w:p>
    <w:p w:rsidR="00D254DA" w:rsidRDefault="00D254DA" w:rsidP="00D254DA">
      <w:pPr>
        <w:pStyle w:val="ListParagraph"/>
        <w:rPr>
          <w:rFonts w:ascii="Century Gothic" w:hAnsi="Century Gothic"/>
          <w:sz w:val="22"/>
          <w:szCs w:val="22"/>
        </w:rPr>
      </w:pPr>
    </w:p>
    <w:p w:rsidR="00D254DA" w:rsidRDefault="00FE7210" w:rsidP="00D254DA">
      <w:pPr>
        <w:numPr>
          <w:ilvl w:val="0"/>
          <w:numId w:val="28"/>
        </w:numPr>
        <w:ind w:hanging="720"/>
        <w:jc w:val="both"/>
        <w:rPr>
          <w:rFonts w:ascii="Century Gothic" w:hAnsi="Century Gothic"/>
          <w:sz w:val="22"/>
          <w:szCs w:val="22"/>
        </w:rPr>
      </w:pPr>
      <w:r w:rsidRPr="00D254DA">
        <w:rPr>
          <w:rFonts w:ascii="Century Gothic" w:hAnsi="Century Gothic"/>
          <w:sz w:val="22"/>
          <w:szCs w:val="22"/>
        </w:rPr>
        <w:t>External funding bodies may have their own rules regarding the approval of extensions. It is the responsibility of the Director of Graduate Studies to confirm that the funding body has been contacted and approval for the proposed ex</w:t>
      </w:r>
      <w:r w:rsidR="00EC4F5F" w:rsidRPr="00D254DA">
        <w:rPr>
          <w:rFonts w:ascii="Century Gothic" w:hAnsi="Century Gothic"/>
          <w:sz w:val="22"/>
          <w:szCs w:val="22"/>
        </w:rPr>
        <w:t>tension gained. In the case of</w:t>
      </w:r>
      <w:r w:rsidRPr="00D254DA">
        <w:rPr>
          <w:rFonts w:ascii="Century Gothic" w:hAnsi="Century Gothic"/>
          <w:sz w:val="22"/>
          <w:szCs w:val="22"/>
        </w:rPr>
        <w:t xml:space="preserve"> College Studentships the Director of Graduate Studies needs to confirm that the College has been alerted.</w:t>
      </w:r>
    </w:p>
    <w:p w:rsidR="00D254DA" w:rsidRDefault="00D254DA" w:rsidP="00D254DA">
      <w:pPr>
        <w:pStyle w:val="ListParagraph"/>
        <w:rPr>
          <w:rFonts w:ascii="Century Gothic" w:hAnsi="Century Gothic"/>
          <w:sz w:val="22"/>
          <w:szCs w:val="22"/>
        </w:rPr>
      </w:pPr>
    </w:p>
    <w:p w:rsidR="00D254DA" w:rsidRDefault="0062745B" w:rsidP="00D254DA">
      <w:pPr>
        <w:numPr>
          <w:ilvl w:val="0"/>
          <w:numId w:val="28"/>
        </w:numPr>
        <w:ind w:hanging="720"/>
        <w:jc w:val="both"/>
        <w:rPr>
          <w:rFonts w:ascii="Century Gothic" w:hAnsi="Century Gothic"/>
          <w:sz w:val="22"/>
          <w:szCs w:val="22"/>
        </w:rPr>
      </w:pPr>
      <w:r w:rsidRPr="00D254DA">
        <w:rPr>
          <w:rFonts w:ascii="Century Gothic" w:hAnsi="Century Gothic"/>
          <w:sz w:val="22"/>
          <w:szCs w:val="22"/>
        </w:rPr>
        <w:t xml:space="preserve">It is recognised that students </w:t>
      </w:r>
      <w:r w:rsidR="00073BF0" w:rsidRPr="00D254DA">
        <w:rPr>
          <w:rFonts w:ascii="Century Gothic" w:hAnsi="Century Gothic"/>
          <w:sz w:val="22"/>
          <w:szCs w:val="22"/>
        </w:rPr>
        <w:t xml:space="preserve">holding Tier 4 visas </w:t>
      </w:r>
      <w:r w:rsidRPr="00D254DA">
        <w:rPr>
          <w:rFonts w:ascii="Century Gothic" w:hAnsi="Century Gothic"/>
          <w:sz w:val="22"/>
          <w:szCs w:val="22"/>
        </w:rPr>
        <w:t xml:space="preserve">who request an extension to the submission deadline may </w:t>
      </w:r>
      <w:r w:rsidR="00073BF0" w:rsidRPr="00D254DA">
        <w:rPr>
          <w:rFonts w:ascii="Century Gothic" w:hAnsi="Century Gothic"/>
          <w:sz w:val="22"/>
          <w:szCs w:val="22"/>
        </w:rPr>
        <w:t>also be eligible to apply for a new Confirmation of Acceptance for Studies (CAS) to renew their student visa</w:t>
      </w:r>
      <w:r w:rsidR="001117E9" w:rsidRPr="00D254DA">
        <w:rPr>
          <w:rFonts w:ascii="Century Gothic" w:hAnsi="Century Gothic"/>
          <w:sz w:val="22"/>
          <w:szCs w:val="22"/>
        </w:rPr>
        <w:t>.</w:t>
      </w:r>
      <w:r w:rsidR="00073BF0" w:rsidRPr="00D254DA">
        <w:rPr>
          <w:rFonts w:ascii="Century Gothic" w:hAnsi="Century Gothic"/>
          <w:sz w:val="22"/>
          <w:szCs w:val="22"/>
        </w:rPr>
        <w:t xml:space="preserve"> However, the College will </w:t>
      </w:r>
      <w:r w:rsidR="00073BF0" w:rsidRPr="00D254DA">
        <w:rPr>
          <w:rFonts w:ascii="Century Gothic" w:hAnsi="Century Gothic"/>
          <w:b/>
          <w:sz w:val="22"/>
          <w:szCs w:val="22"/>
          <w:u w:val="single"/>
        </w:rPr>
        <w:t>not</w:t>
      </w:r>
      <w:r w:rsidR="00073BF0" w:rsidRPr="00D254DA">
        <w:rPr>
          <w:rFonts w:ascii="Century Gothic" w:hAnsi="Century Gothic"/>
          <w:b/>
          <w:sz w:val="22"/>
          <w:szCs w:val="22"/>
        </w:rPr>
        <w:t xml:space="preserve"> </w:t>
      </w:r>
      <w:r w:rsidR="00073BF0" w:rsidRPr="00D254DA">
        <w:rPr>
          <w:rFonts w:ascii="Century Gothic" w:hAnsi="Century Gothic"/>
          <w:sz w:val="22"/>
          <w:szCs w:val="22"/>
        </w:rPr>
        <w:t>support an application for a new CAS unless there are significant and severe extenuating circumstances associated with the student’s request for an extension that are supported by adequately documented evidence as appropriate. Where there are no significant and severe extenuating circumstances the C</w:t>
      </w:r>
      <w:r w:rsidR="001117E9" w:rsidRPr="00D254DA">
        <w:rPr>
          <w:rFonts w:ascii="Century Gothic" w:hAnsi="Century Gothic"/>
          <w:sz w:val="22"/>
          <w:szCs w:val="22"/>
        </w:rPr>
        <w:t>BEEC</w:t>
      </w:r>
      <w:r w:rsidR="00EC4F5F" w:rsidRPr="00D254DA">
        <w:rPr>
          <w:rFonts w:ascii="Century Gothic" w:hAnsi="Century Gothic"/>
          <w:sz w:val="22"/>
          <w:szCs w:val="22"/>
        </w:rPr>
        <w:t xml:space="preserve"> may approve an extension, but </w:t>
      </w:r>
      <w:r w:rsidR="00073BF0" w:rsidRPr="00D254DA">
        <w:rPr>
          <w:rFonts w:ascii="Century Gothic" w:hAnsi="Century Gothic"/>
          <w:sz w:val="22"/>
          <w:szCs w:val="22"/>
        </w:rPr>
        <w:t>require the student to complete his/her studies in the home country, returning to the UK on a visitor visa for the viva.</w:t>
      </w:r>
      <w:r w:rsidRPr="00D254DA">
        <w:rPr>
          <w:rFonts w:ascii="Century Gothic" w:hAnsi="Century Gothic"/>
          <w:sz w:val="22"/>
          <w:szCs w:val="22"/>
        </w:rPr>
        <w:t xml:space="preserve"> Extension requests </w:t>
      </w:r>
      <w:r w:rsidR="00073BF0" w:rsidRPr="00D254DA">
        <w:rPr>
          <w:rFonts w:ascii="Century Gothic" w:hAnsi="Century Gothic"/>
          <w:sz w:val="22"/>
          <w:szCs w:val="22"/>
        </w:rPr>
        <w:t xml:space="preserve">for students holding Tier 4 visas </w:t>
      </w:r>
      <w:r w:rsidRPr="00D254DA">
        <w:rPr>
          <w:rFonts w:ascii="Century Gothic" w:hAnsi="Century Gothic"/>
          <w:sz w:val="22"/>
          <w:szCs w:val="22"/>
        </w:rPr>
        <w:t xml:space="preserve">will be considered on a case-by-case basis by the Vice-Principal and the relevant </w:t>
      </w:r>
      <w:r w:rsidR="00FE7210" w:rsidRPr="00D254DA">
        <w:rPr>
          <w:rFonts w:ascii="Century Gothic" w:hAnsi="Century Gothic"/>
          <w:sz w:val="22"/>
          <w:szCs w:val="22"/>
        </w:rPr>
        <w:t>Faculty Dea</w:t>
      </w:r>
      <w:r w:rsidR="00073BF0" w:rsidRPr="00D254DA">
        <w:rPr>
          <w:rFonts w:ascii="Century Gothic" w:hAnsi="Century Gothic"/>
          <w:sz w:val="22"/>
          <w:szCs w:val="22"/>
        </w:rPr>
        <w:t xml:space="preserve">n. </w:t>
      </w:r>
      <w:r w:rsidR="00882277" w:rsidRPr="00882277">
        <w:rPr>
          <w:rFonts w:ascii="Century Gothic" w:hAnsi="Century Gothic"/>
          <w:b/>
          <w:sz w:val="22"/>
          <w:szCs w:val="22"/>
        </w:rPr>
        <w:t>Their decision will be final and not open to appeal.</w:t>
      </w:r>
      <w:r w:rsidR="00073BF0" w:rsidRPr="00D254DA">
        <w:rPr>
          <w:rFonts w:ascii="Century Gothic" w:hAnsi="Century Gothic"/>
          <w:sz w:val="22"/>
          <w:szCs w:val="22"/>
        </w:rPr>
        <w:t xml:space="preserve"> </w:t>
      </w:r>
      <w:r w:rsidR="00FE7210" w:rsidRPr="00D254DA">
        <w:rPr>
          <w:rFonts w:ascii="Century Gothic" w:hAnsi="Century Gothic"/>
          <w:sz w:val="22"/>
          <w:szCs w:val="22"/>
        </w:rPr>
        <w:t xml:space="preserve"> Supervisors are therefore strongly encouraged to </w:t>
      </w:r>
      <w:r w:rsidR="00073BF0" w:rsidRPr="00D254DA">
        <w:rPr>
          <w:rFonts w:ascii="Century Gothic" w:hAnsi="Century Gothic"/>
          <w:sz w:val="22"/>
          <w:szCs w:val="22"/>
        </w:rPr>
        <w:t xml:space="preserve">ensure that such requests are submitted on time so that in cases where students have to return to their home country they have enough time to make the necessary arrangements. They are also encouraged to </w:t>
      </w:r>
      <w:r w:rsidR="00FE7210" w:rsidRPr="00D254DA">
        <w:rPr>
          <w:rFonts w:ascii="Century Gothic" w:hAnsi="Century Gothic"/>
          <w:sz w:val="22"/>
          <w:szCs w:val="22"/>
        </w:rPr>
        <w:t xml:space="preserve">provide detailed information as part of the extension request </w:t>
      </w:r>
      <w:r w:rsidR="00073BF0" w:rsidRPr="00D254DA">
        <w:rPr>
          <w:rFonts w:ascii="Century Gothic" w:hAnsi="Century Gothic"/>
          <w:sz w:val="22"/>
          <w:szCs w:val="22"/>
        </w:rPr>
        <w:t>so that a decision can be made with all relevant facts to hand.</w:t>
      </w:r>
    </w:p>
    <w:p w:rsidR="00D254DA" w:rsidRDefault="00D254DA" w:rsidP="00D254DA">
      <w:pPr>
        <w:ind w:left="720"/>
        <w:jc w:val="both"/>
        <w:rPr>
          <w:rFonts w:ascii="Century Gothic" w:hAnsi="Century Gothic"/>
          <w:sz w:val="22"/>
          <w:szCs w:val="22"/>
        </w:rPr>
      </w:pPr>
    </w:p>
    <w:p w:rsidR="001117E9" w:rsidRPr="00D254DA" w:rsidRDefault="00FE7210" w:rsidP="00D254DA">
      <w:pPr>
        <w:numPr>
          <w:ilvl w:val="0"/>
          <w:numId w:val="28"/>
        </w:numPr>
        <w:ind w:hanging="720"/>
        <w:jc w:val="both"/>
        <w:rPr>
          <w:rFonts w:ascii="Century Gothic" w:hAnsi="Century Gothic"/>
          <w:sz w:val="22"/>
          <w:szCs w:val="22"/>
        </w:rPr>
      </w:pPr>
      <w:r w:rsidRPr="00D254DA">
        <w:rPr>
          <w:rFonts w:ascii="Century Gothic" w:hAnsi="Century Gothic"/>
          <w:sz w:val="22"/>
          <w:szCs w:val="22"/>
        </w:rPr>
        <w:t>In cases where students are not producing work prior to the submission deadline and are not meeting deadline</w:t>
      </w:r>
      <w:r w:rsidR="00EC4F5F" w:rsidRPr="00D254DA">
        <w:rPr>
          <w:rFonts w:ascii="Century Gothic" w:hAnsi="Century Gothic"/>
          <w:sz w:val="22"/>
          <w:szCs w:val="22"/>
        </w:rPr>
        <w:t>s set, the d</w:t>
      </w:r>
      <w:r w:rsidRPr="00D254DA">
        <w:rPr>
          <w:rFonts w:ascii="Century Gothic" w:hAnsi="Century Gothic"/>
          <w:sz w:val="22"/>
          <w:szCs w:val="22"/>
        </w:rPr>
        <w:t>epartment should invoke the formal warning process</w:t>
      </w:r>
      <w:r w:rsidR="00D254DA">
        <w:rPr>
          <w:rFonts w:ascii="Century Gothic" w:hAnsi="Century Gothic"/>
          <w:sz w:val="22"/>
          <w:szCs w:val="22"/>
        </w:rPr>
        <w:t xml:space="preserve"> (cf. </w:t>
      </w:r>
      <w:r w:rsidR="001117E9" w:rsidRPr="00D254DA">
        <w:rPr>
          <w:rFonts w:ascii="Century Gothic" w:hAnsi="Century Gothic"/>
          <w:sz w:val="22"/>
          <w:szCs w:val="22"/>
        </w:rPr>
        <w:t xml:space="preserve">webpage for template warning letters: </w:t>
      </w:r>
      <w:hyperlink r:id="rId11" w:history="1">
        <w:r w:rsidR="001117E9" w:rsidRPr="00D254DA">
          <w:rPr>
            <w:rStyle w:val="Hyperlink"/>
            <w:rFonts w:ascii="Century Gothic" w:hAnsi="Century Gothic"/>
            <w:sz w:val="22"/>
            <w:szCs w:val="22"/>
          </w:rPr>
          <w:t>http://www.rhul.ac.uk/iquad/services/academicdevelopment/guidanceforacademicstaff.aspx</w:t>
        </w:r>
      </w:hyperlink>
      <w:r w:rsidR="001117E9" w:rsidRPr="00D254DA">
        <w:rPr>
          <w:rFonts w:ascii="Century Gothic" w:hAnsi="Century Gothic"/>
          <w:sz w:val="22"/>
          <w:szCs w:val="22"/>
        </w:rPr>
        <w:t>)</w:t>
      </w:r>
      <w:r w:rsidR="0000644B">
        <w:rPr>
          <w:rFonts w:ascii="Century Gothic" w:hAnsi="Century Gothic"/>
          <w:sz w:val="22"/>
          <w:szCs w:val="22"/>
        </w:rPr>
        <w:t>.</w:t>
      </w:r>
      <w:r w:rsidR="001117E9" w:rsidRPr="00D254DA">
        <w:rPr>
          <w:rFonts w:ascii="Century Gothic" w:hAnsi="Century Gothic"/>
          <w:sz w:val="22"/>
          <w:szCs w:val="22"/>
        </w:rPr>
        <w:t xml:space="preserve">   </w:t>
      </w:r>
      <w:r w:rsidRPr="00D254DA">
        <w:rPr>
          <w:rFonts w:ascii="Century Gothic" w:hAnsi="Century Gothic"/>
          <w:sz w:val="22"/>
          <w:szCs w:val="22"/>
        </w:rPr>
        <w:t>If a student fails to submit and an extension is requested after the submission deadline, any approval of an extension will include as a condition that the formal warning process be invoked with a view to terminating the student’s registration within 6 months should the student not submit within this time. An extension will initially be granted for 6 months as in the case of students for whom an extension application was submitted prior to the deadli</w:t>
      </w:r>
      <w:r w:rsidR="00D254DA">
        <w:rPr>
          <w:rFonts w:ascii="Century Gothic" w:hAnsi="Century Gothic"/>
          <w:sz w:val="22"/>
          <w:szCs w:val="22"/>
        </w:rPr>
        <w:t xml:space="preserve">ne (see 2 </w:t>
      </w:r>
      <w:r w:rsidRPr="00D254DA">
        <w:rPr>
          <w:rFonts w:ascii="Century Gothic" w:hAnsi="Century Gothic"/>
          <w:sz w:val="22"/>
          <w:szCs w:val="22"/>
        </w:rPr>
        <w:t>above).</w:t>
      </w:r>
    </w:p>
    <w:p w:rsidR="0055499F" w:rsidRDefault="0055499F" w:rsidP="0055499F">
      <w:pPr>
        <w:pStyle w:val="ListParagraph"/>
        <w:rPr>
          <w:rFonts w:ascii="Century Gothic" w:hAnsi="Century Gothic"/>
          <w:sz w:val="22"/>
          <w:szCs w:val="22"/>
        </w:rPr>
      </w:pPr>
    </w:p>
    <w:p w:rsidR="0055499F" w:rsidRPr="0055499F" w:rsidRDefault="0055499F" w:rsidP="0055499F">
      <w:pPr>
        <w:jc w:val="both"/>
        <w:rPr>
          <w:rFonts w:ascii="Century Gothic" w:hAnsi="Century Gothic"/>
          <w:b/>
          <w:sz w:val="22"/>
          <w:szCs w:val="22"/>
        </w:rPr>
      </w:pPr>
      <w:r w:rsidRPr="0055499F">
        <w:rPr>
          <w:rFonts w:ascii="Century Gothic" w:hAnsi="Century Gothic"/>
          <w:b/>
          <w:sz w:val="22"/>
          <w:szCs w:val="22"/>
        </w:rPr>
        <w:t>Exte</w:t>
      </w:r>
      <w:r w:rsidR="00D254DA">
        <w:rPr>
          <w:rFonts w:ascii="Century Gothic" w:hAnsi="Century Gothic"/>
          <w:b/>
          <w:sz w:val="22"/>
          <w:szCs w:val="22"/>
        </w:rPr>
        <w:t>nsions to resubmission deadline</w:t>
      </w:r>
    </w:p>
    <w:p w:rsidR="0055499F" w:rsidRDefault="0055499F" w:rsidP="0055499F">
      <w:pPr>
        <w:jc w:val="both"/>
        <w:rPr>
          <w:rFonts w:ascii="Century Gothic" w:hAnsi="Century Gothic"/>
          <w:sz w:val="22"/>
          <w:szCs w:val="22"/>
        </w:rPr>
      </w:pPr>
    </w:p>
    <w:p w:rsidR="0055499F" w:rsidRDefault="00FE7210" w:rsidP="0055499F">
      <w:pPr>
        <w:jc w:val="both"/>
        <w:rPr>
          <w:rFonts w:ascii="Century Gothic" w:hAnsi="Century Gothic"/>
          <w:sz w:val="22"/>
          <w:szCs w:val="22"/>
        </w:rPr>
      </w:pPr>
      <w:r>
        <w:rPr>
          <w:rFonts w:ascii="Century Gothic" w:hAnsi="Century Gothic"/>
          <w:sz w:val="22"/>
          <w:szCs w:val="22"/>
        </w:rPr>
        <w:t xml:space="preserve">The College </w:t>
      </w:r>
      <w:r w:rsidRPr="00EC4F5F">
        <w:rPr>
          <w:rFonts w:ascii="Century Gothic" w:hAnsi="Century Gothic"/>
          <w:b/>
          <w:sz w:val="22"/>
          <w:szCs w:val="22"/>
        </w:rPr>
        <w:t>doe</w:t>
      </w:r>
      <w:r w:rsidR="00073BF0" w:rsidRPr="00EC4F5F">
        <w:rPr>
          <w:rFonts w:ascii="Century Gothic" w:hAnsi="Century Gothic"/>
          <w:b/>
          <w:sz w:val="22"/>
          <w:szCs w:val="22"/>
        </w:rPr>
        <w:t xml:space="preserve">s not permit extensions to </w:t>
      </w:r>
      <w:r w:rsidRPr="00EC4F5F">
        <w:rPr>
          <w:rFonts w:ascii="Century Gothic" w:hAnsi="Century Gothic"/>
          <w:b/>
          <w:sz w:val="22"/>
          <w:szCs w:val="22"/>
        </w:rPr>
        <w:t>resubmission deadline</w:t>
      </w:r>
      <w:r w:rsidR="001117E9" w:rsidRPr="00EC4F5F">
        <w:rPr>
          <w:rFonts w:ascii="Century Gothic" w:hAnsi="Century Gothic"/>
          <w:b/>
          <w:sz w:val="22"/>
          <w:szCs w:val="22"/>
        </w:rPr>
        <w:t>s</w:t>
      </w:r>
      <w:r>
        <w:rPr>
          <w:rFonts w:ascii="Century Gothic" w:hAnsi="Century Gothic"/>
          <w:sz w:val="22"/>
          <w:szCs w:val="22"/>
        </w:rPr>
        <w:t>. Supervisors should therefore ensure that they carefully monitor the progress of students who need to resubmit to ensure that they meet the deadline set by the examiners.</w:t>
      </w:r>
    </w:p>
    <w:p w:rsidR="001117E9" w:rsidRPr="00345CC7" w:rsidRDefault="00FE7210" w:rsidP="001117E9">
      <w:pPr>
        <w:ind w:right="-334"/>
        <w:jc w:val="both"/>
        <w:rPr>
          <w:rFonts w:ascii="Century Gothic" w:hAnsi="Century Gothic"/>
          <w:sz w:val="22"/>
          <w:szCs w:val="22"/>
        </w:rPr>
      </w:pPr>
      <w:r w:rsidRPr="00345CC7">
        <w:rPr>
          <w:rFonts w:ascii="Century Gothic" w:hAnsi="Century Gothic"/>
          <w:bCs/>
          <w:sz w:val="22"/>
          <w:szCs w:val="22"/>
        </w:rPr>
        <w:tab/>
      </w:r>
      <w:r w:rsidRPr="00345CC7">
        <w:rPr>
          <w:rFonts w:ascii="Century Gothic" w:hAnsi="Century Gothic"/>
          <w:sz w:val="22"/>
          <w:szCs w:val="22"/>
        </w:rPr>
        <w:t xml:space="preserve"> </w:t>
      </w:r>
    </w:p>
    <w:sectPr w:rsidR="001117E9" w:rsidRPr="00345CC7" w:rsidSect="001117E9">
      <w:footerReference w:type="even"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5F" w:rsidRDefault="00EC4F5F">
      <w:r>
        <w:separator/>
      </w:r>
    </w:p>
  </w:endnote>
  <w:endnote w:type="continuationSeparator" w:id="0">
    <w:p w:rsidR="00EC4F5F" w:rsidRDefault="00EC4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INKL B+ Myriad Pro">
    <w:altName w:val="Myriad Pro"/>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5F" w:rsidRDefault="00882277" w:rsidP="001117E9">
    <w:pPr>
      <w:pStyle w:val="Footer"/>
      <w:framePr w:wrap="around" w:vAnchor="text" w:hAnchor="margin" w:xAlign="center" w:y="1"/>
      <w:rPr>
        <w:rStyle w:val="PageNumber"/>
      </w:rPr>
    </w:pPr>
    <w:r>
      <w:rPr>
        <w:rStyle w:val="PageNumber"/>
      </w:rPr>
      <w:fldChar w:fldCharType="begin"/>
    </w:r>
    <w:r w:rsidR="00EC4F5F">
      <w:rPr>
        <w:rStyle w:val="PageNumber"/>
      </w:rPr>
      <w:instrText xml:space="preserve">PAGE  </w:instrText>
    </w:r>
    <w:r>
      <w:rPr>
        <w:rStyle w:val="PageNumber"/>
      </w:rPr>
      <w:fldChar w:fldCharType="end"/>
    </w:r>
  </w:p>
  <w:p w:rsidR="00EC4F5F" w:rsidRDefault="00EC4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5F" w:rsidRDefault="00882277" w:rsidP="001117E9">
    <w:pPr>
      <w:pStyle w:val="Footer"/>
      <w:framePr w:wrap="around" w:vAnchor="text" w:hAnchor="margin" w:xAlign="center" w:y="1"/>
      <w:rPr>
        <w:rStyle w:val="PageNumber"/>
      </w:rPr>
    </w:pPr>
    <w:r>
      <w:rPr>
        <w:rStyle w:val="PageNumber"/>
      </w:rPr>
      <w:fldChar w:fldCharType="begin"/>
    </w:r>
    <w:r w:rsidR="00EC4F5F">
      <w:rPr>
        <w:rStyle w:val="PageNumber"/>
      </w:rPr>
      <w:instrText xml:space="preserve">PAGE  </w:instrText>
    </w:r>
    <w:r>
      <w:rPr>
        <w:rStyle w:val="PageNumber"/>
      </w:rPr>
      <w:fldChar w:fldCharType="separate"/>
    </w:r>
    <w:r w:rsidR="0000644B">
      <w:rPr>
        <w:rStyle w:val="PageNumber"/>
        <w:noProof/>
      </w:rPr>
      <w:t>1</w:t>
    </w:r>
    <w:r>
      <w:rPr>
        <w:rStyle w:val="PageNumber"/>
      </w:rPr>
      <w:fldChar w:fldCharType="end"/>
    </w:r>
  </w:p>
  <w:p w:rsidR="00EC4F5F" w:rsidRDefault="00EC4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5F" w:rsidRDefault="00EC4F5F">
      <w:r>
        <w:separator/>
      </w:r>
    </w:p>
  </w:footnote>
  <w:footnote w:type="continuationSeparator" w:id="0">
    <w:p w:rsidR="00EC4F5F" w:rsidRDefault="00EC4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BE5"/>
    <w:multiLevelType w:val="multilevel"/>
    <w:tmpl w:val="A85C72B0"/>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DA238B"/>
    <w:multiLevelType w:val="multilevel"/>
    <w:tmpl w:val="C7ACA5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2E2EDE"/>
    <w:multiLevelType w:val="hybridMultilevel"/>
    <w:tmpl w:val="D48ED97C"/>
    <w:lvl w:ilvl="0" w:tplc="E81C106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175213"/>
    <w:multiLevelType w:val="hybridMultilevel"/>
    <w:tmpl w:val="3A624862"/>
    <w:lvl w:ilvl="0" w:tplc="98AEAFA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365B2F"/>
    <w:multiLevelType w:val="hybridMultilevel"/>
    <w:tmpl w:val="CD8E7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4364FB"/>
    <w:multiLevelType w:val="hybridMultilevel"/>
    <w:tmpl w:val="5E488A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85B1D33"/>
    <w:multiLevelType w:val="hybridMultilevel"/>
    <w:tmpl w:val="C7ACA5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F5EE6"/>
    <w:multiLevelType w:val="hybridMultilevel"/>
    <w:tmpl w:val="F654B7D4"/>
    <w:lvl w:ilvl="0" w:tplc="9E629622">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C527DF"/>
    <w:multiLevelType w:val="multilevel"/>
    <w:tmpl w:val="6938EDC4"/>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81B579F"/>
    <w:multiLevelType w:val="multilevel"/>
    <w:tmpl w:val="2B62CCFA"/>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B9018F"/>
    <w:multiLevelType w:val="hybridMultilevel"/>
    <w:tmpl w:val="FD30DE9C"/>
    <w:lvl w:ilvl="0" w:tplc="0809000F">
      <w:start w:val="1"/>
      <w:numFmt w:val="decimal"/>
      <w:lvlText w:val="%1."/>
      <w:lvlJc w:val="left"/>
      <w:pPr>
        <w:tabs>
          <w:tab w:val="num" w:pos="720"/>
        </w:tabs>
        <w:ind w:left="720" w:hanging="720"/>
      </w:pPr>
      <w:rPr>
        <w:rFonts w:hint="default"/>
        <w:b w:val="0"/>
        <w:sz w:val="22"/>
        <w:szCs w:val="22"/>
      </w:rPr>
    </w:lvl>
    <w:lvl w:ilvl="1" w:tplc="E7009516">
      <w:start w:val="1"/>
      <w:numFmt w:val="lowerRoman"/>
      <w:lvlText w:val="(%2)"/>
      <w:lvlJc w:val="left"/>
      <w:pPr>
        <w:tabs>
          <w:tab w:val="num" w:pos="1647"/>
        </w:tabs>
        <w:ind w:left="164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0B97004"/>
    <w:multiLevelType w:val="multilevel"/>
    <w:tmpl w:val="BDFAD74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C17E2B"/>
    <w:multiLevelType w:val="hybridMultilevel"/>
    <w:tmpl w:val="12D26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EF6420"/>
    <w:multiLevelType w:val="hybridMultilevel"/>
    <w:tmpl w:val="6FE65480"/>
    <w:lvl w:ilvl="0" w:tplc="B4D847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EF2987"/>
    <w:multiLevelType w:val="hybridMultilevel"/>
    <w:tmpl w:val="A85C72B0"/>
    <w:lvl w:ilvl="0" w:tplc="3F5AF19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0F4081"/>
    <w:multiLevelType w:val="hybridMultilevel"/>
    <w:tmpl w:val="9D08E730"/>
    <w:lvl w:ilvl="0" w:tplc="05F2922E">
      <w:start w:val="1"/>
      <w:numFmt w:val="bullet"/>
      <w:lvlText w:val=""/>
      <w:lvlJc w:val="left"/>
      <w:pPr>
        <w:tabs>
          <w:tab w:val="num" w:pos="283"/>
        </w:tabs>
        <w:ind w:left="283" w:hanging="283"/>
      </w:pPr>
      <w:rPr>
        <w:rFonts w:ascii="Symbol" w:hAnsi="Symbol" w:hint="default"/>
      </w:rPr>
    </w:lvl>
    <w:lvl w:ilvl="1" w:tplc="E7009516">
      <w:start w:val="1"/>
      <w:numFmt w:val="lowerRoman"/>
      <w:lvlText w:val="(%2)"/>
      <w:lvlJc w:val="left"/>
      <w:pPr>
        <w:tabs>
          <w:tab w:val="num" w:pos="1647"/>
        </w:tabs>
        <w:ind w:left="164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1FD397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40F3439"/>
    <w:multiLevelType w:val="multilevel"/>
    <w:tmpl w:val="D494B8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3B3B77"/>
    <w:multiLevelType w:val="multilevel"/>
    <w:tmpl w:val="EF8A084C"/>
    <w:lvl w:ilvl="0">
      <w:start w:val="1"/>
      <w:numFmt w:val="decimal"/>
      <w:lvlText w:val="%1."/>
      <w:lvlJc w:val="left"/>
      <w:pPr>
        <w:tabs>
          <w:tab w:val="num" w:pos="720"/>
        </w:tabs>
        <w:ind w:left="720" w:hanging="720"/>
      </w:pPr>
      <w:rPr>
        <w:rFonts w:ascii="Century Gothic" w:hAnsi="Century Gothic" w:hint="default"/>
        <w:b w:val="0"/>
        <w:sz w:val="22"/>
        <w:szCs w:val="22"/>
      </w:rPr>
    </w:lvl>
    <w:lvl w:ilvl="1">
      <w:start w:val="1"/>
      <w:numFmt w:val="lowerRoman"/>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105880"/>
    <w:multiLevelType w:val="hybridMultilevel"/>
    <w:tmpl w:val="3EB6449E"/>
    <w:lvl w:ilvl="0" w:tplc="75A84C9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CA401C2"/>
    <w:multiLevelType w:val="hybridMultilevel"/>
    <w:tmpl w:val="3AAAF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B26809"/>
    <w:multiLevelType w:val="hybridMultilevel"/>
    <w:tmpl w:val="CF0CA4EC"/>
    <w:lvl w:ilvl="0" w:tplc="2F2C18AE">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entury Gothic"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entury Gothic"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entury Gothic"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583E05D5"/>
    <w:multiLevelType w:val="hybridMultilevel"/>
    <w:tmpl w:val="D04C9D00"/>
    <w:lvl w:ilvl="0" w:tplc="75A84C9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8BA07D2"/>
    <w:multiLevelType w:val="hybridMultilevel"/>
    <w:tmpl w:val="6938EDC4"/>
    <w:lvl w:ilvl="0" w:tplc="05F2922E">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9233ED5"/>
    <w:multiLevelType w:val="multilevel"/>
    <w:tmpl w:val="2B62CCFA"/>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9650FDA"/>
    <w:multiLevelType w:val="multilevel"/>
    <w:tmpl w:val="D2B2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A157B8B"/>
    <w:multiLevelType w:val="hybridMultilevel"/>
    <w:tmpl w:val="2AEE76B0"/>
    <w:lvl w:ilvl="0" w:tplc="18640890">
      <w:start w:val="1"/>
      <w:numFmt w:val="decimal"/>
      <w:lvlText w:val="%1."/>
      <w:lvlJc w:val="left"/>
      <w:pPr>
        <w:tabs>
          <w:tab w:val="num" w:pos="720"/>
        </w:tabs>
        <w:ind w:left="720" w:hanging="720"/>
      </w:pPr>
      <w:rPr>
        <w:rFonts w:ascii="Century Gothic" w:hAnsi="Century Gothic" w:hint="default"/>
        <w:b w:val="0"/>
        <w:sz w:val="22"/>
        <w:szCs w:val="22"/>
      </w:rPr>
    </w:lvl>
    <w:lvl w:ilvl="1" w:tplc="E7009516">
      <w:start w:val="1"/>
      <w:numFmt w:val="lowerRoman"/>
      <w:lvlText w:val="(%2)"/>
      <w:lvlJc w:val="left"/>
      <w:pPr>
        <w:tabs>
          <w:tab w:val="num" w:pos="1647"/>
        </w:tabs>
        <w:ind w:left="164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E53311A"/>
    <w:multiLevelType w:val="multilevel"/>
    <w:tmpl w:val="ED5ECF2E"/>
    <w:lvl w:ilvl="0">
      <w:start w:val="1"/>
      <w:numFmt w:val="decimal"/>
      <w:lvlText w:val="%1."/>
      <w:lvlJc w:val="left"/>
      <w:pPr>
        <w:tabs>
          <w:tab w:val="num" w:pos="720"/>
        </w:tabs>
        <w:ind w:left="720" w:hanging="720"/>
      </w:pPr>
      <w:rPr>
        <w:rFonts w:ascii="Century Gothic" w:hAnsi="Century Gothic" w:hint="default"/>
        <w:b w:val="0"/>
        <w:sz w:val="22"/>
        <w:szCs w:val="22"/>
      </w:rPr>
    </w:lvl>
    <w:lvl w:ilvl="1">
      <w:start w:val="1"/>
      <w:numFmt w:val="lowerRoman"/>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BC6418"/>
    <w:multiLevelType w:val="hybridMultilevel"/>
    <w:tmpl w:val="89E80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13"/>
  </w:num>
  <w:num w:numId="4">
    <w:abstractNumId w:val="1"/>
  </w:num>
  <w:num w:numId="5">
    <w:abstractNumId w:val="25"/>
  </w:num>
  <w:num w:numId="6">
    <w:abstractNumId w:val="16"/>
  </w:num>
  <w:num w:numId="7">
    <w:abstractNumId w:val="3"/>
  </w:num>
  <w:num w:numId="8">
    <w:abstractNumId w:val="17"/>
  </w:num>
  <w:num w:numId="9">
    <w:abstractNumId w:val="22"/>
  </w:num>
  <w:num w:numId="10">
    <w:abstractNumId w:val="19"/>
  </w:num>
  <w:num w:numId="11">
    <w:abstractNumId w:val="2"/>
  </w:num>
  <w:num w:numId="12">
    <w:abstractNumId w:val="26"/>
  </w:num>
  <w:num w:numId="13">
    <w:abstractNumId w:val="11"/>
  </w:num>
  <w:num w:numId="14">
    <w:abstractNumId w:val="24"/>
  </w:num>
  <w:num w:numId="15">
    <w:abstractNumId w:val="15"/>
  </w:num>
  <w:num w:numId="16">
    <w:abstractNumId w:val="23"/>
  </w:num>
  <w:num w:numId="17">
    <w:abstractNumId w:val="8"/>
  </w:num>
  <w:num w:numId="18">
    <w:abstractNumId w:val="14"/>
  </w:num>
  <w:num w:numId="19">
    <w:abstractNumId w:val="0"/>
  </w:num>
  <w:num w:numId="20">
    <w:abstractNumId w:val="7"/>
  </w:num>
  <w:num w:numId="21">
    <w:abstractNumId w:val="9"/>
  </w:num>
  <w:num w:numId="22">
    <w:abstractNumId w:val="27"/>
  </w:num>
  <w:num w:numId="23">
    <w:abstractNumId w:val="18"/>
  </w:num>
  <w:num w:numId="24">
    <w:abstractNumId w:val="5"/>
  </w:num>
  <w:num w:numId="25">
    <w:abstractNumId w:val="12"/>
  </w:num>
  <w:num w:numId="26">
    <w:abstractNumId w:val="28"/>
  </w:num>
  <w:num w:numId="27">
    <w:abstractNumId w:val="20"/>
  </w:num>
  <w:num w:numId="28">
    <w:abstractNumId w:val="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487ABF"/>
    <w:rsid w:val="0000558E"/>
    <w:rsid w:val="0000644B"/>
    <w:rsid w:val="00073BF0"/>
    <w:rsid w:val="001117E9"/>
    <w:rsid w:val="001273AA"/>
    <w:rsid w:val="003A13E5"/>
    <w:rsid w:val="00487ABF"/>
    <w:rsid w:val="0055499F"/>
    <w:rsid w:val="0062745B"/>
    <w:rsid w:val="0083433B"/>
    <w:rsid w:val="00882277"/>
    <w:rsid w:val="008972A6"/>
    <w:rsid w:val="00921BF1"/>
    <w:rsid w:val="00A22811"/>
    <w:rsid w:val="00CA25A8"/>
    <w:rsid w:val="00D254DA"/>
    <w:rsid w:val="00E81438"/>
    <w:rsid w:val="00EB73CE"/>
    <w:rsid w:val="00EC4F5F"/>
    <w:rsid w:val="00FE72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9B"/>
    <w:rPr>
      <w:sz w:val="24"/>
      <w:szCs w:val="24"/>
      <w:lang w:eastAsia="en-US"/>
    </w:rPr>
  </w:style>
  <w:style w:type="paragraph" w:styleId="Heading1">
    <w:name w:val="heading 1"/>
    <w:basedOn w:val="Normal"/>
    <w:next w:val="Normal"/>
    <w:qFormat/>
    <w:rsid w:val="00460C56"/>
    <w:pPr>
      <w:keepNext/>
      <w:jc w:val="center"/>
      <w:outlineLvl w:val="0"/>
    </w:pPr>
    <w:rPr>
      <w:b/>
      <w:bCs/>
      <w:szCs w:val="20"/>
    </w:rPr>
  </w:style>
  <w:style w:type="paragraph" w:styleId="Heading2">
    <w:name w:val="heading 2"/>
    <w:basedOn w:val="Normal"/>
    <w:next w:val="Normal"/>
    <w:qFormat/>
    <w:rsid w:val="00460C56"/>
    <w:pPr>
      <w:keepNext/>
      <w:outlineLvl w:val="1"/>
    </w:pPr>
    <w:rPr>
      <w:b/>
      <w:bCs/>
      <w:szCs w:val="20"/>
    </w:rPr>
  </w:style>
  <w:style w:type="paragraph" w:styleId="Heading4">
    <w:name w:val="heading 4"/>
    <w:basedOn w:val="Normal"/>
    <w:next w:val="Normal"/>
    <w:qFormat/>
    <w:rsid w:val="00C54B0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03EA"/>
    <w:rPr>
      <w:color w:val="0000FF"/>
      <w:u w:val="single"/>
    </w:rPr>
  </w:style>
  <w:style w:type="table" w:styleId="TableGrid">
    <w:name w:val="Table Grid"/>
    <w:basedOn w:val="TableNormal"/>
    <w:rsid w:val="00940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94BF8"/>
    <w:pPr>
      <w:tabs>
        <w:tab w:val="center" w:pos="4153"/>
        <w:tab w:val="right" w:pos="8306"/>
      </w:tabs>
    </w:pPr>
  </w:style>
  <w:style w:type="character" w:styleId="PageNumber">
    <w:name w:val="page number"/>
    <w:basedOn w:val="DefaultParagraphFont"/>
    <w:rsid w:val="00D94BF8"/>
  </w:style>
  <w:style w:type="paragraph" w:styleId="Header">
    <w:name w:val="header"/>
    <w:basedOn w:val="Normal"/>
    <w:rsid w:val="00D94BF8"/>
    <w:pPr>
      <w:tabs>
        <w:tab w:val="center" w:pos="4153"/>
        <w:tab w:val="right" w:pos="8306"/>
      </w:tabs>
    </w:pPr>
  </w:style>
  <w:style w:type="paragraph" w:styleId="BalloonText">
    <w:name w:val="Balloon Text"/>
    <w:basedOn w:val="Normal"/>
    <w:semiHidden/>
    <w:rsid w:val="00483031"/>
    <w:rPr>
      <w:rFonts w:ascii="Tahoma" w:hAnsi="Tahoma" w:cs="Tahoma"/>
      <w:sz w:val="16"/>
      <w:szCs w:val="16"/>
    </w:rPr>
  </w:style>
  <w:style w:type="paragraph" w:styleId="ListParagraph">
    <w:name w:val="List Paragraph"/>
    <w:basedOn w:val="Normal"/>
    <w:uiPriority w:val="34"/>
    <w:qFormat/>
    <w:rsid w:val="00FE7210"/>
    <w:pPr>
      <w:ind w:left="720"/>
    </w:pPr>
  </w:style>
  <w:style w:type="paragraph" w:customStyle="1" w:styleId="Style1">
    <w:name w:val="Style1"/>
    <w:basedOn w:val="Normal"/>
    <w:link w:val="Style1Char"/>
    <w:qFormat/>
    <w:rsid w:val="00073BF0"/>
    <w:pPr>
      <w:widowControl w:val="0"/>
      <w:autoSpaceDE w:val="0"/>
      <w:autoSpaceDN w:val="0"/>
      <w:adjustRightInd w:val="0"/>
      <w:spacing w:after="175"/>
    </w:pPr>
    <w:rPr>
      <w:rFonts w:ascii="CINKL B+ Myriad Pro" w:eastAsiaTheme="minorEastAsia" w:hAnsi="CINKL B+ Myriad Pro" w:cs="CINKL B+ Myriad Pro"/>
      <w:b/>
      <w:color w:val="272872"/>
      <w:sz w:val="20"/>
      <w:szCs w:val="20"/>
      <w:lang w:eastAsia="en-GB"/>
    </w:rPr>
  </w:style>
  <w:style w:type="character" w:customStyle="1" w:styleId="Style1Char">
    <w:name w:val="Style1 Char"/>
    <w:basedOn w:val="DefaultParagraphFont"/>
    <w:link w:val="Style1"/>
    <w:rsid w:val="00073BF0"/>
    <w:rPr>
      <w:rFonts w:ascii="CINKL B+ Myriad Pro" w:eastAsiaTheme="minorEastAsia" w:hAnsi="CINKL B+ Myriad Pro" w:cs="CINKL B+ Myriad Pro"/>
      <w:b/>
      <w:color w:val="272872"/>
    </w:rPr>
  </w:style>
  <w:style w:type="character" w:styleId="CommentReference">
    <w:name w:val="annotation reference"/>
    <w:basedOn w:val="DefaultParagraphFont"/>
    <w:uiPriority w:val="99"/>
    <w:semiHidden/>
    <w:unhideWhenUsed/>
    <w:rsid w:val="00EC4F5F"/>
    <w:rPr>
      <w:sz w:val="16"/>
      <w:szCs w:val="16"/>
    </w:rPr>
  </w:style>
  <w:style w:type="paragraph" w:styleId="CommentText">
    <w:name w:val="annotation text"/>
    <w:basedOn w:val="Normal"/>
    <w:link w:val="CommentTextChar"/>
    <w:uiPriority w:val="99"/>
    <w:semiHidden/>
    <w:unhideWhenUsed/>
    <w:rsid w:val="00EC4F5F"/>
    <w:rPr>
      <w:sz w:val="20"/>
      <w:szCs w:val="20"/>
    </w:rPr>
  </w:style>
  <w:style w:type="character" w:customStyle="1" w:styleId="CommentTextChar">
    <w:name w:val="Comment Text Char"/>
    <w:basedOn w:val="DefaultParagraphFont"/>
    <w:link w:val="CommentText"/>
    <w:uiPriority w:val="99"/>
    <w:semiHidden/>
    <w:rsid w:val="00EC4F5F"/>
    <w:rPr>
      <w:lang w:eastAsia="en-US"/>
    </w:rPr>
  </w:style>
  <w:style w:type="paragraph" w:styleId="CommentSubject">
    <w:name w:val="annotation subject"/>
    <w:basedOn w:val="CommentText"/>
    <w:next w:val="CommentText"/>
    <w:link w:val="CommentSubjectChar"/>
    <w:uiPriority w:val="99"/>
    <w:semiHidden/>
    <w:unhideWhenUsed/>
    <w:rsid w:val="00EC4F5F"/>
    <w:rPr>
      <w:b/>
      <w:bCs/>
    </w:rPr>
  </w:style>
  <w:style w:type="character" w:customStyle="1" w:styleId="CommentSubjectChar">
    <w:name w:val="Comment Subject Char"/>
    <w:basedOn w:val="CommentTextChar"/>
    <w:link w:val="CommentSubject"/>
    <w:uiPriority w:val="99"/>
    <w:semiHidden/>
    <w:rsid w:val="00EC4F5F"/>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hul.ac.uk/iquad/documents/doc/academicdevelopment/pgrextensionstudentandsupervisorstatements.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hul.ac.uk/iquad/services/academicdevelopment/guidanceforacademicstaff.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hul.ac.uk/iquad/services/academicdevelopment/guidanceforacademicstaff.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hul.ac.uk/iquad/documents/doc/academicdevelopment/pgrextensionstudentandsupervisorstatements.docx" TargetMode="External"/><Relationship Id="rId4" Type="http://schemas.openxmlformats.org/officeDocument/2006/relationships/webSettings" Target="webSettings.xml"/><Relationship Id="rId9" Type="http://schemas.openxmlformats.org/officeDocument/2006/relationships/hyperlink" Target="http://www.rhul.ac.uk/iquad/services/academicdevelopment/guidanceforacademicstaff.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841</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Student Satisfaction Survey 2005</vt:lpstr>
    </vt:vector>
  </TitlesOfParts>
  <Company>RHUL</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Student Satisfaction Survey 2005</dc:title>
  <dc:subject/>
  <dc:creator>Graham</dc:creator>
  <cp:keywords/>
  <dc:description/>
  <cp:lastModifiedBy>Miles</cp:lastModifiedBy>
  <cp:revision>5</cp:revision>
  <cp:lastPrinted>2005-10-31T16:16:00Z</cp:lastPrinted>
  <dcterms:created xsi:type="dcterms:W3CDTF">2013-02-07T09:25:00Z</dcterms:created>
  <dcterms:modified xsi:type="dcterms:W3CDTF">2013-02-13T10:02:00Z</dcterms:modified>
</cp:coreProperties>
</file>