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63" w:rsidRPr="00A40256" w:rsidRDefault="00704B63" w:rsidP="00366C73">
      <w:pPr>
        <w:spacing w:after="0"/>
        <w:jc w:val="center"/>
        <w:rPr>
          <w:rFonts w:ascii="Corbel" w:hAnsi="Corbel"/>
          <w:b/>
          <w:sz w:val="2"/>
        </w:rPr>
      </w:pPr>
      <w:bookmarkStart w:id="0" w:name="_GoBack"/>
      <w:bookmarkEnd w:id="0"/>
    </w:p>
    <w:p w:rsidR="00704B63" w:rsidRPr="00A40256" w:rsidRDefault="00704B63" w:rsidP="00366C73">
      <w:pPr>
        <w:spacing w:after="0"/>
        <w:jc w:val="center"/>
        <w:rPr>
          <w:rFonts w:ascii="Corbel" w:hAnsi="Corbel"/>
          <w:b/>
          <w:sz w:val="2"/>
        </w:rPr>
      </w:pPr>
    </w:p>
    <w:p w:rsidR="006C4209" w:rsidRPr="00A40256" w:rsidRDefault="00366C73" w:rsidP="00366C73">
      <w:pPr>
        <w:spacing w:after="0"/>
        <w:jc w:val="center"/>
        <w:rPr>
          <w:rFonts w:ascii="Corbel" w:hAnsi="Corbel"/>
          <w:b/>
          <w:sz w:val="36"/>
        </w:rPr>
      </w:pPr>
      <w:r w:rsidRPr="00A40256">
        <w:rPr>
          <w:rFonts w:ascii="Corbel" w:hAnsi="Corbel"/>
          <w:b/>
          <w:sz w:val="36"/>
        </w:rPr>
        <w:t>Our Community Bond</w:t>
      </w:r>
    </w:p>
    <w:p w:rsidR="00704B63" w:rsidRPr="00A40256" w:rsidRDefault="00704B63" w:rsidP="00366C73">
      <w:pPr>
        <w:spacing w:after="0"/>
        <w:jc w:val="center"/>
        <w:rPr>
          <w:rFonts w:ascii="Corbel" w:hAnsi="Corbel"/>
          <w:b/>
          <w:sz w:val="12"/>
        </w:rPr>
      </w:pPr>
    </w:p>
    <w:p w:rsidR="00366C73" w:rsidRPr="00A40256" w:rsidRDefault="00366C73" w:rsidP="00366C73">
      <w:pPr>
        <w:jc w:val="center"/>
        <w:rPr>
          <w:rFonts w:ascii="Corbel" w:hAnsi="Corbel"/>
        </w:rPr>
      </w:pPr>
      <w:r w:rsidRPr="00A40256">
        <w:rPr>
          <w:rFonts w:ascii="Corbel" w:hAnsi="Corbel"/>
          <w:i/>
        </w:rPr>
        <w:t>Flat/Corridor/Block: ________________________</w:t>
      </w:r>
    </w:p>
    <w:p w:rsidR="00366C73" w:rsidRPr="00A40256" w:rsidRDefault="00366C73" w:rsidP="00366C73">
      <w:pPr>
        <w:rPr>
          <w:rFonts w:ascii="Corbel" w:hAnsi="Corbel"/>
          <w:sz w:val="18"/>
        </w:rPr>
      </w:pPr>
      <w:r w:rsidRPr="00A40256">
        <w:rPr>
          <w:rFonts w:ascii="Corbel" w:hAnsi="Corbel"/>
          <w:sz w:val="18"/>
        </w:rPr>
        <w:t>A community is a group of people living in the same place – but in halls of residence it can be so much more than that. It can be the best thing about where you live, a family away from home, and a crowd in which you find lifelong friends.</w:t>
      </w:r>
    </w:p>
    <w:p w:rsidR="00366C73" w:rsidRPr="00A40256" w:rsidRDefault="00366C73" w:rsidP="00366C73">
      <w:pPr>
        <w:rPr>
          <w:rFonts w:ascii="Corbel" w:hAnsi="Corbel"/>
          <w:sz w:val="18"/>
        </w:rPr>
      </w:pPr>
      <w:r w:rsidRPr="00A40256">
        <w:rPr>
          <w:rFonts w:ascii="Corbel" w:hAnsi="Corbe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3FBD0" wp14:editId="49A0087E">
                <wp:simplePos x="0" y="0"/>
                <wp:positionH relativeFrom="margin">
                  <wp:align>center</wp:align>
                </wp:positionH>
                <wp:positionV relativeFrom="paragraph">
                  <wp:posOffset>6644508</wp:posOffset>
                </wp:positionV>
                <wp:extent cx="6469039" cy="1767385"/>
                <wp:effectExtent l="0" t="0" r="2730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039" cy="1767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C73" w:rsidRPr="00A40256" w:rsidRDefault="00366C73" w:rsidP="00366C73">
                            <w:pPr>
                              <w:rPr>
                                <w:rFonts w:ascii="Corbel" w:hAnsi="Corbel"/>
                                <w:i/>
                                <w:color w:val="000000" w:themeColor="text1"/>
                              </w:rPr>
                            </w:pPr>
                            <w:r w:rsidRPr="00A40256">
                              <w:rPr>
                                <w:rFonts w:ascii="Corbel" w:hAnsi="Corbel"/>
                                <w:i/>
                                <w:color w:val="000000" w:themeColor="text1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3FBD0" id="Rectangle 1" o:spid="_x0000_s1026" style="position:absolute;margin-left:0;margin-top:523.2pt;width:509.35pt;height:139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" filled="f" strokecolor="black [3213]" strokeweight="2pt">
                <v:textbox>
                  <w:txbxContent>
                    <w:p w:rsidR="00366C73" w:rsidRPr="00A40256" w:rsidRDefault="00366C73" w:rsidP="00366C73">
                      <w:pPr>
                        <w:rPr>
                          <w:rFonts w:ascii="Corbel" w:hAnsi="Corbel"/>
                          <w:i/>
                          <w:color w:val="000000" w:themeColor="text1"/>
                        </w:rPr>
                      </w:pPr>
                      <w:r w:rsidRPr="00A40256">
                        <w:rPr>
                          <w:rFonts w:ascii="Corbel" w:hAnsi="Corbel"/>
                          <w:i/>
                          <w:color w:val="000000" w:themeColor="text1"/>
                        </w:rPr>
                        <w:t>Signatures: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40256">
        <w:rPr>
          <w:rFonts w:ascii="Corbel" w:hAnsi="Corbel"/>
          <w:sz w:val="18"/>
        </w:rPr>
        <w:t xml:space="preserve">The key components of a positive hall community are respect, understanding, consideration and tolerance. As a group, you may wish to decide on a set of agreements which you can all sign up to. We do not want to dictate rules on who should use which washing up sponge and </w:t>
      </w:r>
      <w:r w:rsidR="00704B63" w:rsidRPr="00A40256">
        <w:rPr>
          <w:rFonts w:ascii="Corbel" w:hAnsi="Corbel"/>
          <w:sz w:val="18"/>
        </w:rPr>
        <w:t>whether cutlery can be shared or not</w:t>
      </w:r>
      <w:r w:rsidRPr="00A40256">
        <w:rPr>
          <w:rFonts w:ascii="Corbel" w:hAnsi="Corbel"/>
          <w:sz w:val="18"/>
        </w:rPr>
        <w:t>, but it may help for you – as a community – to decide on some self-governing rules by which you all choose to abide.</w:t>
      </w:r>
      <w:r w:rsidR="00704B63" w:rsidRPr="00A40256">
        <w:rPr>
          <w:rFonts w:ascii="Corbel" w:hAnsi="Corbel"/>
          <w:sz w:val="18"/>
        </w:rPr>
        <w:t xml:space="preserve"> Doing so at the beginning of your stay may just help to make sure nobody upsets or annoys anyone unintentionally.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22"/>
      </w:tblGrid>
      <w:tr w:rsidR="00704B63" w:rsidRPr="00A40256" w:rsidTr="00704B63">
        <w:tc>
          <w:tcPr>
            <w:tcW w:w="10422" w:type="dxa"/>
          </w:tcPr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</w:tc>
      </w:tr>
      <w:tr w:rsidR="00704B63" w:rsidRPr="00A40256" w:rsidTr="00704B63">
        <w:tc>
          <w:tcPr>
            <w:tcW w:w="10422" w:type="dxa"/>
          </w:tcPr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</w:tc>
      </w:tr>
      <w:tr w:rsidR="00704B63" w:rsidRPr="00A40256" w:rsidTr="00704B63">
        <w:tc>
          <w:tcPr>
            <w:tcW w:w="10422" w:type="dxa"/>
          </w:tcPr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</w:tc>
      </w:tr>
      <w:tr w:rsidR="00704B63" w:rsidRPr="00A40256" w:rsidTr="00704B63">
        <w:tc>
          <w:tcPr>
            <w:tcW w:w="10422" w:type="dxa"/>
          </w:tcPr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</w:tc>
      </w:tr>
      <w:tr w:rsidR="00704B63" w:rsidRPr="00A40256" w:rsidTr="00704B63">
        <w:tc>
          <w:tcPr>
            <w:tcW w:w="10422" w:type="dxa"/>
          </w:tcPr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</w:tc>
      </w:tr>
      <w:tr w:rsidR="00704B63" w:rsidRPr="00A40256" w:rsidTr="00704B63">
        <w:tc>
          <w:tcPr>
            <w:tcW w:w="10422" w:type="dxa"/>
          </w:tcPr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</w:tc>
      </w:tr>
      <w:tr w:rsidR="00704B63" w:rsidRPr="00A40256" w:rsidTr="00704B63">
        <w:tc>
          <w:tcPr>
            <w:tcW w:w="10422" w:type="dxa"/>
          </w:tcPr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</w:tc>
      </w:tr>
      <w:tr w:rsidR="00704B63" w:rsidRPr="00A40256" w:rsidTr="00704B63">
        <w:tc>
          <w:tcPr>
            <w:tcW w:w="10422" w:type="dxa"/>
          </w:tcPr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</w:tc>
      </w:tr>
      <w:tr w:rsidR="00704B63" w:rsidRPr="00A40256" w:rsidTr="00704B63">
        <w:tc>
          <w:tcPr>
            <w:tcW w:w="10422" w:type="dxa"/>
          </w:tcPr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</w:tc>
      </w:tr>
      <w:tr w:rsidR="00704B63" w:rsidRPr="00A40256" w:rsidTr="00704B63">
        <w:tc>
          <w:tcPr>
            <w:tcW w:w="10422" w:type="dxa"/>
          </w:tcPr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</w:tc>
      </w:tr>
      <w:tr w:rsidR="00704B63" w:rsidRPr="00A40256" w:rsidTr="00704B63">
        <w:tc>
          <w:tcPr>
            <w:tcW w:w="10422" w:type="dxa"/>
          </w:tcPr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</w:tc>
      </w:tr>
      <w:tr w:rsidR="00704B63" w:rsidRPr="00A40256" w:rsidTr="00704B63">
        <w:tc>
          <w:tcPr>
            <w:tcW w:w="10422" w:type="dxa"/>
          </w:tcPr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</w:tc>
      </w:tr>
      <w:tr w:rsidR="00704B63" w:rsidRPr="00A40256" w:rsidTr="00704B63">
        <w:tc>
          <w:tcPr>
            <w:tcW w:w="10422" w:type="dxa"/>
          </w:tcPr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  <w:p w:rsidR="00704B63" w:rsidRPr="00A40256" w:rsidRDefault="00704B63" w:rsidP="00366C73">
            <w:pPr>
              <w:rPr>
                <w:rFonts w:ascii="Corbel" w:hAnsi="Corbel"/>
                <w:sz w:val="18"/>
              </w:rPr>
            </w:pPr>
          </w:p>
        </w:tc>
      </w:tr>
    </w:tbl>
    <w:p w:rsidR="00704B63" w:rsidRPr="00A40256" w:rsidRDefault="00704B63" w:rsidP="00366C73">
      <w:pPr>
        <w:rPr>
          <w:rFonts w:ascii="Corbel" w:hAnsi="Corbel"/>
          <w:sz w:val="18"/>
        </w:rPr>
      </w:pPr>
    </w:p>
    <w:sectPr w:rsidR="00704B63" w:rsidRPr="00A40256" w:rsidSect="00366C73">
      <w:headerReference w:type="default" r:id="rId6"/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FFE" w:rsidRDefault="00474FFE" w:rsidP="00704B63">
      <w:pPr>
        <w:spacing w:after="0" w:line="240" w:lineRule="auto"/>
      </w:pPr>
      <w:r>
        <w:separator/>
      </w:r>
    </w:p>
  </w:endnote>
  <w:endnote w:type="continuationSeparator" w:id="0">
    <w:p w:rsidR="00474FFE" w:rsidRDefault="00474FFE" w:rsidP="0070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FFE" w:rsidRDefault="00474FFE" w:rsidP="00704B63">
      <w:pPr>
        <w:spacing w:after="0" w:line="240" w:lineRule="auto"/>
      </w:pPr>
      <w:r>
        <w:separator/>
      </w:r>
    </w:p>
  </w:footnote>
  <w:footnote w:type="continuationSeparator" w:id="0">
    <w:p w:rsidR="00474FFE" w:rsidRDefault="00474FFE" w:rsidP="0070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63" w:rsidRPr="00704B63" w:rsidRDefault="00B2116A" w:rsidP="00B2116A">
    <w:pPr>
      <w:pStyle w:val="Header"/>
      <w:tabs>
        <w:tab w:val="clear" w:pos="9026"/>
        <w:tab w:val="right" w:pos="10206"/>
      </w:tabs>
      <w:rPr>
        <w:i/>
        <w:color w:val="BFBFBF" w:themeColor="background1" w:themeShade="BF"/>
      </w:rPr>
    </w:pPr>
    <w:r>
      <w:rPr>
        <w:i/>
        <w:color w:val="BFBFBF" w:themeColor="background1" w:themeShade="BF"/>
      </w:rPr>
      <w:tab/>
    </w:r>
    <w:r>
      <w:rPr>
        <w:i/>
        <w:color w:val="BFBFBF" w:themeColor="background1" w:themeShade="BF"/>
      </w:rPr>
      <w:tab/>
    </w:r>
    <w:r w:rsidR="00DD42D8">
      <w:rPr>
        <w:i/>
        <w:color w:val="BFBFBF" w:themeColor="background1" w:themeShade="BF"/>
      </w:rPr>
      <w:t>Hall.life</w:t>
    </w:r>
    <w:r w:rsidR="00704B63" w:rsidRPr="00704B63">
      <w:rPr>
        <w:i/>
        <w:color w:val="BFBFBF" w:themeColor="background1" w:themeShade="BF"/>
      </w:rPr>
      <w:t>@royalholloway.ac.uk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73"/>
    <w:rsid w:val="001D6F81"/>
    <w:rsid w:val="00366C73"/>
    <w:rsid w:val="00474FFE"/>
    <w:rsid w:val="0060199F"/>
    <w:rsid w:val="00642FD9"/>
    <w:rsid w:val="00663814"/>
    <w:rsid w:val="006C4209"/>
    <w:rsid w:val="00704B63"/>
    <w:rsid w:val="0088133D"/>
    <w:rsid w:val="00A40256"/>
    <w:rsid w:val="00B2116A"/>
    <w:rsid w:val="00D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DD57C-56E1-47BF-9E71-5255B09A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63"/>
  </w:style>
  <w:style w:type="paragraph" w:styleId="Footer">
    <w:name w:val="footer"/>
    <w:basedOn w:val="Normal"/>
    <w:link w:val="FooterChar"/>
    <w:uiPriority w:val="99"/>
    <w:unhideWhenUsed/>
    <w:rsid w:val="0070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Aruwa, Kenny</dc:creator>
  <cp:lastModifiedBy>Mahmood, Sahar</cp:lastModifiedBy>
  <cp:revision>2</cp:revision>
  <dcterms:created xsi:type="dcterms:W3CDTF">2019-05-13T10:09:00Z</dcterms:created>
  <dcterms:modified xsi:type="dcterms:W3CDTF">2019-05-13T10:09:00Z</dcterms:modified>
</cp:coreProperties>
</file>